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Record of Advice — short-term personal lines</w:t>
      </w:r>
    </w:p>
    <w:p>
      <w:pPr>
        <w:spacing w:after="300"/>
      </w:pPr>
      <w:r>
        <w:rPr>
          <w:i/>
          <w:iCs/>
          <w:sz w:val="20"/>
          <w:szCs w:val="20"/>
        </w:rPr>
        <w:t xml:space="preserve">Template aligned to section 9 of the FAIS General Code of Conduct (Board Notice 80 of 2003 as amended to BN 706 of 26 June 2020)</w:t>
      </w:r>
    </w:p>
    <w:p>
      <w:pPr>
        <w:spacing w:after="300"/>
      </w:pPr>
      <w:r>
        <w:rPr>
          <w:sz w:val="20"/>
          <w:szCs w:val="20"/>
        </w:rPr>
        <w:t xml:space="preserve">Section 9(1) of the Code requires this record to reflect the basis on which the advice was given: (a) a brief summary of the information and material the advice was based on; (b) the financial products considered; (c) the product recommended with an explanation of why it is likely to satisfy the client’s identified needs and objectives; and (d) where the recommendation replaces a product the client holds, the comparison and the reasons. Sections A–G below map onto those paragraphs; the provision each discharges is shown under its heading.</w:t>
      </w:r>
    </w:p>
    <w:p>
      <w:pPr>
        <w:pStyle w:val="Heading1"/>
        <w:spacing w:before="360" w:after="80"/>
      </w:pPr>
      <w:r>
        <w:t xml:space="preserve">A. Client and adviser details</w:t>
      </w:r>
    </w:p>
    <w:p>
      <w:pPr>
        <w:spacing w:after="120"/>
      </w:pPr>
      <w:r>
        <w:rPr>
          <w:i/>
          <w:iCs/>
          <w:color w:val="555555"/>
          <w:sz w:val="18"/>
          <w:szCs w:val="18"/>
        </w:rPr>
        <w:t xml:space="preserve">Context — makes the record attributable and datable</w:t>
      </w:r>
    </w:p>
    <w:tbl>
      <w:tblPr>
        <w:tblW w:type="pct" w:w="100%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DDDDDD" w:sz="4"/>
          <w:insideV w:val="single" w:color="DDDDDD" w:sz="4"/>
        </w:tblBorders>
      </w:tblPr>
      <w:tblGrid>
        <w:gridCol w:w="100"/>
        <w:gridCol w:w="100"/>
      </w:tblGrid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Client name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Client contact details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FSP name and licence number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Representative name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Date of advice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Date of this record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before="360" w:after="80"/>
      </w:pPr>
      <w:r>
        <w:t xml:space="preserve">B. Needs and objectives identified</w:t>
      </w:r>
    </w:p>
    <w:p>
      <w:pPr>
        <w:spacing w:after="120"/>
      </w:pPr>
      <w:r>
        <w:rPr>
          <w:i/>
          <w:iCs/>
          <w:color w:val="555555"/>
          <w:sz w:val="18"/>
          <w:szCs w:val="18"/>
        </w:rPr>
        <w:t xml:space="preserve">Section 8(1)(a) information; recorded under section 9(1)(a)</w:t>
      </w:r>
    </w:p>
    <w:tbl>
      <w:tblPr>
        <w:tblW w:type="pct" w:w="100%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DDDDDD" w:sz="4"/>
          <w:insideV w:val="single" w:color="DDDDDD" w:sz="4"/>
        </w:tblBorders>
      </w:tblPr>
      <w:tblGrid>
        <w:gridCol w:w="100"/>
        <w:gridCol w:w="100"/>
      </w:tblGrid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Cover the client asked for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Objectives the client stated (e.g. replacement value, lowest premium, specific items)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Assets and sums insured discussed, and how each was arrived at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before="360" w:after="80"/>
      </w:pPr>
      <w:r>
        <w:t xml:space="preserve">C. Information the advice was based on</w:t>
      </w:r>
    </w:p>
    <w:p>
      <w:pPr>
        <w:spacing w:after="120"/>
      </w:pPr>
      <w:r>
        <w:rPr>
          <w:i/>
          <w:iCs/>
          <w:color w:val="555555"/>
          <w:sz w:val="18"/>
          <w:szCs w:val="18"/>
        </w:rPr>
        <w:t xml:space="preserve">Section 8(1)(a)–(b); recorded under section 9(1)(a)</w:t>
      </w:r>
    </w:p>
    <w:tbl>
      <w:tblPr>
        <w:tblW w:type="pct" w:w="100%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DDDDDD" w:sz="4"/>
          <w:insideV w:val="single" w:color="DDDDDD" w:sz="4"/>
        </w:tblBorders>
      </w:tblPr>
      <w:tblGrid>
        <w:gridCol w:w="100"/>
        <w:gridCol w:w="100"/>
      </w:tblGrid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Financial situation and affordability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Risk profile (tolerance, capacity, required risk)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Financial product knowledge and experience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Circumstances that change the risk (security, use, location, claims history, existing cover)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Limits on the analysis and the alert given to the client — section 8(4)(a)–(b)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before="360" w:after="80"/>
      </w:pPr>
      <w:r>
        <w:t xml:space="preserve">D. Products considered and the recommendation</w:t>
      </w:r>
    </w:p>
    <w:p>
      <w:pPr>
        <w:spacing w:after="120"/>
      </w:pPr>
      <w:r>
        <w:rPr>
          <w:i/>
          <w:iCs/>
          <w:color w:val="555555"/>
          <w:sz w:val="18"/>
          <w:szCs w:val="18"/>
        </w:rPr>
        <w:t xml:space="preserve">Section 9(1)(b) and (c)</w:t>
      </w:r>
    </w:p>
    <w:tbl>
      <w:tblPr>
        <w:tblW w:type="pct" w:w="100%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DDDDDD" w:sz="4"/>
          <w:insideV w:val="single" w:color="DDDDDD" w:sz="4"/>
        </w:tblBorders>
      </w:tblPr>
      <w:tblGrid>
        <w:gridCol w:w="100"/>
        <w:gridCol w:w="100"/>
      </w:tblGrid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Products considered (insurer, product, material differences: cover, excess, exclusions, waiting periods, premium)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Why the products not recommended were set aside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Any limitation on the range you may offer (licence, mandate, binder) — section 8(1)(c); if no appropriate product could be identified, the decline and referral — section 8(1)(cA)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Product recommended (insurer, product, premium)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Why the recommendation is likely to satisfy the identified needs and objectives (need → feature → reason)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before="360" w:after="80"/>
      </w:pPr>
      <w:r>
        <w:t xml:space="preserve">E. Disclosures made and client confirmation</w:t>
      </w:r>
    </w:p>
    <w:p>
      <w:pPr>
        <w:spacing w:after="120"/>
      </w:pPr>
      <w:r>
        <w:rPr>
          <w:i/>
          <w:iCs/>
          <w:color w:val="555555"/>
          <w:sz w:val="18"/>
          <w:szCs w:val="18"/>
        </w:rPr>
        <w:t xml:space="preserve">Section 7(1)(c) and (d); section 8(2)</w:t>
      </w:r>
    </w:p>
    <w:tbl>
      <w:tblPr>
        <w:tblW w:type="pct" w:w="100%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DDDDDD" w:sz="4"/>
          <w:insideV w:val="single" w:color="DDDDDD" w:sz="4"/>
        </w:tblBorders>
      </w:tblPr>
      <w:tblGrid>
        <w:gridCol w:w="100"/>
        <w:gridCol w:w="100"/>
      </w:tblGrid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Excess structure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Exclusions, waiting periods, restrictions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Average and underinsurance explained; values agreed with the client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Commission and any fee to the provider — section 7(1)(c)(v)–(vi)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Client’s duty of disclosure and consequences of non-disclosure — section 7(1)(d)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Steps taken to ensure the client understood the advice — section 8(2)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before="360" w:after="80"/>
      </w:pPr>
      <w:r>
        <w:t xml:space="preserve">F. Replacement comparison (complete when the recommendation replaces a policy the client holds)</w:t>
      </w:r>
    </w:p>
    <w:p>
      <w:pPr>
        <w:spacing w:after="120"/>
      </w:pPr>
      <w:r>
        <w:rPr>
          <w:i/>
          <w:iCs/>
          <w:color w:val="555555"/>
          <w:sz w:val="18"/>
          <w:szCs w:val="18"/>
        </w:rPr>
        <w:t xml:space="preserve">Section 8(1)(d)–(e) and section 9(1)(d) — a renewal moved to another insurer is a replacement (2020 definitions of "replace or replacement" and "variation")</w:t>
      </w:r>
    </w:p>
    <w:tbl>
      <w:tblPr>
        <w:tblW w:type="pct" w:w="100%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DDDDDD" w:sz="4"/>
          <w:insideV w:val="single" w:color="DDDDDD" w:sz="4"/>
        </w:tblBorders>
      </w:tblPr>
      <w:tblGrid>
        <w:gridCol w:w="100"/>
        <w:gridCol w:w="100"/>
      </w:tblGrid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Terminated policy (insurer, product, policy number)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Fees and charges compared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Special terms and conditions compared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Exclusions of liability compared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Waiting periods, loadings, penalties compared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Excesses compared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Restrictions or circumstances in which benefits will not be provided compared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Benefits, guarantees or vested rights lost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Commission on the terminated and the replacement product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Reasons the replacement is more suitable than retaining or modifying the terminated policy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before="360" w:after="80"/>
      </w:pPr>
      <w:r>
        <w:t xml:space="preserve">G. Declarations</w:t>
      </w:r>
    </w:p>
    <w:p>
      <w:pPr>
        <w:spacing w:after="120"/>
      </w:pPr>
      <w:r>
        <w:rPr>
          <w:i/>
          <w:iCs/>
          <w:color w:val="555555"/>
          <w:sz w:val="18"/>
          <w:szCs w:val="18"/>
        </w:rPr>
        <w:t xml:space="preserve">Section 9(2) — the client must be given a copy of this record in writing</w:t>
      </w:r>
    </w:p>
    <w:tbl>
      <w:tblPr>
        <w:tblW w:type="pct" w:w="100%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DDDDDD" w:sz="4"/>
          <w:insideV w:val="single" w:color="DDDDDD" w:sz="4"/>
        </w:tblBorders>
      </w:tblPr>
      <w:tblGrid>
        <w:gridCol w:w="100"/>
        <w:gridCol w:w="100"/>
      </w:tblGrid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Representative: I confirm this record reflects the basis on which the advice was given. Signature and date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42%"/>
            <w:shd w:fill="F3F1EC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Client: I confirm I received a written copy of this record. Signature and date (a signature is good practice, not a Code requirement)</w:t>
            </w:r>
          </w:p>
        </w:tc>
        <w:tc>
          <w:tcPr>
            <w:tcW w:type="pct" w:w="58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before="360" w:after="120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sz w:val="18"/>
          <w:szCs w:val="18"/>
        </w:rPr>
        <w:t xml:space="preserve">Keep this record, and the analysis behind it, for five years after the policy terminates or the service is rendered (FAIS Act section 18; Code section 3(2)(b)); it must be available within seven days of the regulator’s request (section 3(2)(c)).</w:t>
      </w:r>
    </w:p>
    <w:p>
      <w:pPr>
        <w:pStyle w:val="ListParagraph"/>
        <w:numPr>
          <w:ilvl w:val="0"/>
          <w:numId w:val="1"/>
        </w:numPr>
      </w:pPr>
      <w:r>
        <w:rPr>
          <w:sz w:val="18"/>
          <w:szCs w:val="18"/>
        </w:rPr>
        <w:t xml:space="preserve">Section 9(1) only requires a record where a transaction is concluded as a result of the advice — but the file the Ombud asks for is exactly that one.</w:t>
      </w:r>
    </w:p>
    <w:p>
      <w:pPr>
        <w:pStyle w:val="ListParagraph"/>
        <w:numPr>
          <w:ilvl w:val="0"/>
          <w:numId w:val="1"/>
        </w:numPr>
      </w:pPr>
      <w:r>
        <w:rPr>
          <w:sz w:val="18"/>
          <w:szCs w:val="18"/>
        </w:rPr>
        <w:t xml:space="preserve">For the replacement of an individual long-term risk policy, the FSCA-prescribed Replacement Advice Record format (FSCA Communication 5 of 2019, under Rule 19 of the Long-term Insurance Policyholder Protection Rules) applies in addition to this record.</w:t>
      </w:r>
    </w:p>
    <w:p>
      <w:pPr>
        <w:pStyle w:val="ListParagraph"/>
        <w:numPr>
          <w:ilvl w:val="0"/>
          <w:numId w:val="1"/>
        </w:numPr>
      </w:pPr>
      <w:r>
        <w:rPr>
          <w:sz w:val="18"/>
          <w:szCs w:val="18"/>
        </w:rPr>
        <w:t xml:space="preserve">This template is general information about FAIS record-keeping, not legal or compliance advice. Check the current text of the Code before relying on it. Broker AI — broker-ai.org/record-of-advice-template</w:t>
      </w:r>
    </w:p>
    <w:sectPr>
      <w:footerReference w:type="default" r:id="rId6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777777"/>
        <w:sz w:val="16"/>
        <w:szCs w:val="16"/>
      </w:rPr>
      <w:t xml:space="preserve">Record of Advice template · Broker AI · broker-ai.org · page </w:t>
    </w:r>
    <w:r>
      <w:rPr>
        <w:color w:val="7777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 of Advice — short-term personal lines</dc:title>
  <dc:creator>Broker AI</dc:creator>
  <dc:description>Template aligned to section 9 of the FAIS General Code of Conduct (Board Notice 80 of 2003 as amended to BN 706 of 26 June 2020)</dc:description>
  <cp:lastModifiedBy>Un-named</cp:lastModifiedBy>
  <cp:revision>1</cp:revision>
  <dcterms:created xsi:type="dcterms:W3CDTF">2026-09-07T14:36:08.653Z</dcterms:created>
  <dcterms:modified xsi:type="dcterms:W3CDTF">2026-09-07T14:36:08.654Z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