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spacing w:before="2000" w:after="120"/>
      </w:pPr>
      <w:r>
        <w:rPr>
          <w:rFonts w:ascii="Calibri" w:cs="Calibri" w:eastAsia="Calibri" w:hAnsi="Calibri"/>
          <w:b/>
          <w:bCs/>
          <w:color w:val="000000"/>
          <w:sz w:val="52"/>
          <w:szCs w:val="52"/>
        </w:rPr>
        <w:t xml:space="preserve">POLICY QUOTE COMPARISON</w:t>
      </w:r>
    </w:p>
    <w:p>
      <w:pPr>
        <w:keepNext/>
        <w:pBdr>
          <w:bottom w:val="single" w:color="D3DBDD" w:sz="4" w:space="14"/>
        </w:pBdr>
        <w:spacing w:before="0" w:after="0"/>
      </w:pPr>
      <w:r>
        <w:rPr>
          <w:rFonts w:ascii="Calibri" w:cs="Calibri" w:eastAsia="Calibri" w:hAnsi="Calibri"/>
          <w:color w:val="000000"/>
          <w:sz w:val="28"/>
          <w:szCs w:val="28"/>
        </w:rPr>
        <w:t xml:space="preserve">Mr J Sample (co-insured: Mrs A Sample)</w:t>
      </w:r>
    </w:p>
    <w:p>
      <w:pPr>
        <w:spacing w:before="0" w:after="360"/>
      </w:pPr>
    </w:p>
    <w:tbl>
      <w:tblPr>
        <w:tblW w:type="dxa" w:w="10466"/>
        <w:tblBorders>
          <w:top w:val="single" w:color="D3DBDD" w:sz="4"/>
          <w:left w:val="single" w:color="D3DBDD" w:sz="4"/>
          <w:bottom w:val="single" w:color="D3DBDD" w:sz="4"/>
          <w:right w:val="single" w:color="D3DBDD" w:sz="4"/>
          <w:insideH w:val="single" w:color="D3DBDD" w:sz="4"/>
          <w:insideV w:val="single" w:color="D3DBDD" w:sz="4"/>
        </w:tblBorders>
        <w:tblLayout w:type="fixed"/>
      </w:tblPr>
      <w:tblGrid>
        <w:gridCol w:w="2700"/>
        <w:gridCol w:w="7766"/>
      </w:tblGrid>
      <w:tr>
        <w:trPr>
          <w:cantSplit/>
          <w:trHeight w:val="520" w:hRule="atLeast"/>
        </w:trPr>
        <w:tc>
          <w:tcPr>
            <w:tcW w:type="dxa" w:w="2700"/>
            <w:shd w:fill="F6F8F8" w:color="auto" w:val="clear"/>
            <w:tcMar>
              <w:top w:type="dxa" w:w="130"/>
              <w:left w:type="dxa" w:w="160"/>
              <w:bottom w:type="dxa" w:w="130"/>
              <w:right w:type="dxa" w:w="160"/>
            </w:tcMar>
            <w:vAlign w:val="center"/>
          </w:tcPr>
          <w:p>
            <w:pPr>
              <w:spacing w:before="0" w:after="0" w:line="260"/>
            </w:pPr>
            <w:r>
              <w:rPr>
                <w:rFonts w:ascii="Calibri" w:cs="Calibri" w:eastAsia="Calibri" w:hAnsi="Calibri"/>
                <w:b/>
                <w:bCs/>
                <w:caps/>
                <w:color w:val="000000"/>
                <w:spacing w:val="20"/>
                <w:sz w:val="17"/>
                <w:szCs w:val="17"/>
              </w:rPr>
              <w:t xml:space="preserve">Date</w:t>
            </w:r>
          </w:p>
        </w:tc>
        <w:tc>
          <w:tcPr>
            <w:tcW w:type="dxa" w:w="7766"/>
            <w:tcMar>
              <w:top w:type="dxa" w:w="130"/>
              <w:left w:type="dxa" w:w="160"/>
              <w:bottom w:type="dxa" w:w="130"/>
              <w:right w:type="dxa" w:w="160"/>
            </w:tcMar>
            <w:vAlign w:val="center"/>
          </w:tcPr>
          <w:p>
            <w:pPr>
              <w:spacing w:before="0" w:after="0"/>
            </w:pPr>
            <w:r>
              <w:rPr>
                <w:rFonts w:ascii="Calibri" w:cs="Calibri" w:eastAsia="Calibri" w:hAnsi="Calibri"/>
                <w:color w:val="000000"/>
                <w:sz w:val="20"/>
                <w:szCs w:val="20"/>
              </w:rPr>
              <w:t xml:space="preserve">2026-10-26</w:t>
            </w:r>
          </w:p>
        </w:tc>
      </w:tr>
      <w:tr>
        <w:trPr>
          <w:cantSplit/>
          <w:trHeight w:val="520" w:hRule="atLeast"/>
        </w:trPr>
        <w:tc>
          <w:tcPr>
            <w:tcW w:type="dxa" w:w="2700"/>
            <w:shd w:fill="F6F8F8" w:color="auto" w:val="clear"/>
            <w:tcMar>
              <w:top w:type="dxa" w:w="130"/>
              <w:left w:type="dxa" w:w="160"/>
              <w:bottom w:type="dxa" w:w="130"/>
              <w:right w:type="dxa" w:w="160"/>
            </w:tcMar>
            <w:vAlign w:val="center"/>
          </w:tcPr>
          <w:p>
            <w:pPr>
              <w:spacing w:before="0" w:after="0" w:line="260"/>
            </w:pPr>
            <w:r>
              <w:rPr>
                <w:rFonts w:ascii="Calibri" w:cs="Calibri" w:eastAsia="Calibri" w:hAnsi="Calibri"/>
                <w:b/>
                <w:bCs/>
                <w:caps/>
                <w:color w:val="000000"/>
                <w:spacing w:val="20"/>
                <w:sz w:val="17"/>
                <w:szCs w:val="17"/>
              </w:rPr>
              <w:t xml:space="preserve">Policies compared</w:t>
            </w:r>
          </w:p>
        </w:tc>
        <w:tc>
          <w:tcPr>
            <w:tcW w:type="dxa" w:w="7766"/>
            <w:tcMar>
              <w:top w:type="dxa" w:w="130"/>
              <w:left w:type="dxa" w:w="160"/>
              <w:bottom w:type="dxa" w:w="130"/>
              <w:right w:type="dxa" w:w="160"/>
            </w:tcMar>
            <w:vAlign w:val="center"/>
          </w:tcPr>
          <w:p>
            <w:pPr>
              <w:spacing w:before="0" w:after="0"/>
            </w:pPr>
            <w:r>
              <w:rPr>
                <w:rFonts w:ascii="Calibri" w:cs="Calibri" w:eastAsia="Calibri" w:hAnsi="Calibri"/>
                <w:color w:val="000000"/>
                <w:sz w:val="20"/>
                <w:szCs w:val="20"/>
              </w:rPr>
              <w:t xml:space="preserve">• Discovery Insure Purple Plan QTE-0000001 (Current Policy)</w:t>
            </w:r>
          </w:p>
          <w:p>
            <w:pPr>
              <w:spacing w:before="40" w:after="0"/>
            </w:pPr>
            <w:r>
              <w:rPr>
                <w:rFonts w:ascii="Calibri" w:cs="Calibri" w:eastAsia="Calibri" w:hAnsi="Calibri"/>
                <w:color w:val="000000"/>
                <w:sz w:val="20"/>
                <w:szCs w:val="20"/>
              </w:rPr>
              <w:t xml:space="preserve">• Bryte Personal Policy QTE-0000002 (Trisure)</w:t>
            </w:r>
          </w:p>
          <w:p>
            <w:pPr>
              <w:spacing w:before="40" w:after="0"/>
            </w:pPr>
            <w:r>
              <w:rPr>
                <w:rFonts w:ascii="Calibri" w:cs="Calibri" w:eastAsia="Calibri" w:hAnsi="Calibri"/>
                <w:color w:val="000000"/>
                <w:sz w:val="20"/>
                <w:szCs w:val="20"/>
              </w:rPr>
              <w:t xml:space="preserve">• MUA Executive Policy Quote QTE-0000003 (Compass)</w:t>
            </w:r>
          </w:p>
          <w:p>
            <w:pPr>
              <w:spacing w:before="40" w:after="0"/>
            </w:pPr>
            <w:r>
              <w:rPr>
                <w:rFonts w:ascii="Calibri" w:cs="Calibri" w:eastAsia="Calibri" w:hAnsi="Calibri"/>
                <w:color w:val="000000"/>
                <w:sz w:val="20"/>
                <w:szCs w:val="20"/>
              </w:rPr>
              <w:t xml:space="preserve">• Apex Pinnacle Personal QTE-0000004 (Guardrisk)</w:t>
            </w:r>
          </w:p>
        </w:tc>
      </w:tr>
      <w:tr>
        <w:trPr>
          <w:cantSplit/>
          <w:trHeight w:val="520" w:hRule="atLeast"/>
        </w:trPr>
        <w:tc>
          <w:tcPr>
            <w:tcW w:type="dxa" w:w="2700"/>
            <w:shd w:fill="F6F8F8" w:color="auto" w:val="clear"/>
            <w:tcMar>
              <w:top w:type="dxa" w:w="130"/>
              <w:left w:type="dxa" w:w="160"/>
              <w:bottom w:type="dxa" w:w="130"/>
              <w:right w:type="dxa" w:w="160"/>
            </w:tcMar>
            <w:vAlign w:val="center"/>
          </w:tcPr>
          <w:p>
            <w:pPr>
              <w:spacing w:before="0" w:after="0" w:line="260"/>
            </w:pPr>
            <w:r>
              <w:rPr>
                <w:rFonts w:ascii="Calibri" w:cs="Calibri" w:eastAsia="Calibri" w:hAnsi="Calibri"/>
                <w:b/>
                <w:bCs/>
                <w:caps/>
                <w:color w:val="000000"/>
                <w:spacing w:val="20"/>
                <w:sz w:val="17"/>
                <w:szCs w:val="17"/>
              </w:rPr>
              <w:t xml:space="preserve">Scope</w:t>
            </w:r>
          </w:p>
        </w:tc>
        <w:tc>
          <w:tcPr>
            <w:tcW w:type="dxa" w:w="7766"/>
            <w:tcMar>
              <w:top w:type="dxa" w:w="130"/>
              <w:left w:type="dxa" w:w="160"/>
              <w:bottom w:type="dxa" w:w="130"/>
              <w:right w:type="dxa" w:w="160"/>
            </w:tcMar>
            <w:vAlign w:val="center"/>
          </w:tcPr>
          <w:p>
            <w:pPr>
              <w:spacing w:before="0" w:after="0"/>
            </w:pPr>
            <w:r>
              <w:rPr>
                <w:rFonts w:ascii="Calibri" w:cs="Calibri" w:eastAsia="Calibri" w:hAnsi="Calibri"/>
                <w:color w:val="000000"/>
                <w:sz w:val="20"/>
                <w:szCs w:val="20"/>
              </w:rPr>
              <w:t xml:space="preserve">4 Policies Analysed</w:t>
            </w:r>
          </w:p>
        </w:tc>
      </w:tr>
      <w:tr>
        <w:trPr>
          <w:cantSplit/>
          <w:trHeight w:val="520" w:hRule="atLeast"/>
        </w:trPr>
        <w:tc>
          <w:tcPr>
            <w:tcW w:type="dxa" w:w="2700"/>
            <w:shd w:fill="F6F8F8" w:color="auto" w:val="clear"/>
            <w:tcMar>
              <w:top w:type="dxa" w:w="130"/>
              <w:left w:type="dxa" w:w="160"/>
              <w:bottom w:type="dxa" w:w="130"/>
              <w:right w:type="dxa" w:w="160"/>
            </w:tcMar>
            <w:vAlign w:val="center"/>
          </w:tcPr>
          <w:p>
            <w:pPr>
              <w:spacing w:before="0" w:after="0" w:line="260"/>
            </w:pPr>
            <w:r>
              <w:rPr>
                <w:rFonts w:ascii="Calibri" w:cs="Calibri" w:eastAsia="Calibri" w:hAnsi="Calibri"/>
                <w:b/>
                <w:bCs/>
                <w:caps/>
                <w:color w:val="000000"/>
                <w:spacing w:val="20"/>
                <w:sz w:val="17"/>
                <w:szCs w:val="17"/>
              </w:rPr>
              <w:t xml:space="preserve">Monthly premium</w:t>
            </w:r>
          </w:p>
        </w:tc>
        <w:tc>
          <w:tcPr>
            <w:tcW w:type="dxa" w:w="7766"/>
            <w:tcMar>
              <w:top w:type="dxa" w:w="130"/>
              <w:left w:type="dxa" w:w="160"/>
              <w:bottom w:type="dxa" w:w="130"/>
              <w:right w:type="dxa" w:w="160"/>
            </w:tcMar>
            <w:vAlign w:val="center"/>
          </w:tcPr>
          <w:p>
            <w:pPr>
              <w:spacing w:before="0" w:after="0"/>
            </w:pPr>
            <w:r>
              <w:rPr>
                <w:rFonts w:ascii="Calibri" w:cs="Calibri" w:eastAsia="Calibri" w:hAnsi="Calibri"/>
                <w:b/>
                <w:bCs/>
                <w:color w:val="000000"/>
                <w:sz w:val="20"/>
                <w:szCs w:val="20"/>
              </w:rPr>
              <w:t xml:space="preserve">R7,838.64 (incl. Sasria R54.86 and Vitality Drive R230.00; no separate fees)</w:t>
            </w:r>
            <w:r>
              <w:rPr>
                <w:rFonts w:ascii="Calibri" w:cs="Calibri" w:eastAsia="Calibri" w:hAnsi="Calibri"/>
                <w:color w:val="000000"/>
                <w:sz w:val="19"/>
                <w:szCs w:val="19"/>
              </w:rPr>
              <w:t xml:space="preserve">  ·  Discovery Insure Purple Plan QTE-0000001 (Current Policy)</w:t>
            </w:r>
          </w:p>
          <w:p>
            <w:pPr>
              <w:spacing w:before="40" w:after="0"/>
            </w:pPr>
            <w:r>
              <w:rPr>
                <w:rFonts w:ascii="Calibri" w:cs="Calibri" w:eastAsia="Calibri" w:hAnsi="Calibri"/>
                <w:b/>
                <w:bCs/>
                <w:color w:val="000000"/>
                <w:sz w:val="20"/>
                <w:szCs w:val="20"/>
              </w:rPr>
              <w:t xml:space="preserve">R6,527.62 (incl. R50.00 administrator fee, R97.00 non-insurer value-added products, Sasria R52.22; broker fee R0.00)</w:t>
            </w:r>
            <w:r>
              <w:rPr>
                <w:rFonts w:ascii="Calibri" w:cs="Calibri" w:eastAsia="Calibri" w:hAnsi="Calibri"/>
                <w:color w:val="000000"/>
                <w:sz w:val="19"/>
                <w:szCs w:val="19"/>
              </w:rPr>
              <w:t xml:space="preserve">  ·  Bryte Personal Policy QTE-0000002</w:t>
            </w:r>
          </w:p>
          <w:p>
            <w:pPr>
              <w:spacing w:before="40" w:after="0"/>
            </w:pPr>
            <w:r>
              <w:rPr>
                <w:rFonts w:ascii="Calibri" w:cs="Calibri" w:eastAsia="Calibri" w:hAnsi="Calibri"/>
                <w:b/>
                <w:bCs/>
                <w:color w:val="000000"/>
                <w:sz w:val="20"/>
                <w:szCs w:val="20"/>
              </w:rPr>
              <w:t xml:space="preserve">R6,830.46 (incl. Home Assist R22.00, Roadside Assist R52.00, MUA Concierge R175.00, MUA CareComplete R20.00, SASRIA R44.39)</w:t>
            </w:r>
            <w:r>
              <w:rPr>
                <w:rFonts w:ascii="Calibri" w:cs="Calibri" w:eastAsia="Calibri" w:hAnsi="Calibri"/>
                <w:color w:val="000000"/>
                <w:sz w:val="19"/>
                <w:szCs w:val="19"/>
              </w:rPr>
              <w:t xml:space="preserve">  ·  MUA Executive Policy QTE-0000003</w:t>
            </w:r>
          </w:p>
          <w:p>
            <w:pPr>
              <w:spacing w:before="40" w:after="0"/>
            </w:pPr>
            <w:r>
              <w:rPr>
                <w:rFonts w:ascii="Calibri" w:cs="Calibri" w:eastAsia="Calibri" w:hAnsi="Calibri"/>
                <w:b/>
                <w:bCs/>
                <w:color w:val="000000"/>
                <w:sz w:val="20"/>
                <w:szCs w:val="20"/>
              </w:rPr>
              <w:t xml:space="preserve">R7,675.33 (incl. value-added products R374.40 and VAT R1,001.13; admin fee R0.00, broker fee R0.00)</w:t>
            </w:r>
            <w:r>
              <w:rPr>
                <w:rFonts w:ascii="Calibri" w:cs="Calibri" w:eastAsia="Calibri" w:hAnsi="Calibri"/>
                <w:color w:val="000000"/>
                <w:sz w:val="19"/>
                <w:szCs w:val="19"/>
              </w:rPr>
              <w:t xml:space="preserve">  ·  Apex Pinnacle Personal QTE-0000004</w:t>
            </w:r>
          </w:p>
        </w:tc>
      </w:tr>
    </w:tbl>
    <w:p>
      <w:pPr>
        <w:pBdr>
          <w:top w:val="single" w:color="D3DBDD" w:sz="4" w:space="10"/>
        </w:pBdr>
        <w:spacing w:before="2000" w:after="0" w:line="276" w:lineRule="auto"/>
      </w:pPr>
      <w:r>
        <w:rPr>
          <w:rFonts w:ascii="Calibri" w:cs="Calibri" w:eastAsia="Calibri" w:hAnsi="Calibri"/>
          <w:i/>
          <w:iCs/>
          <w:color w:val="000000"/>
          <w:sz w:val="17"/>
          <w:szCs w:val="17"/>
        </w:rPr>
        <w:t xml:space="preserve">This comparison is designed to guide your decision by highlighting the key differences between the quotes provided. We recommend reviewing the full policy wording, schedule, and endorsements to ensure you are comfortable with all limits, excesses, exclusions, and conditions before proceeding. The insurer's wording will always apply in full.</w:t>
      </w:r>
    </w:p>
    <w:p>
      <w:pPr>
        <w:pageBreakBefore/>
      </w:pPr>
      <w:r>
        <w:t xml:space="preserve"/>
      </w:r>
    </w:p>
    <w:p>
      <w:pPr>
        <w:pStyle w:val="Heading1"/>
        <w:keepNext/>
        <w:keepLines/>
        <w:pBdr>
          <w:bottom w:val="single" w:color="D3DBDD" w:sz="4" w:space="4"/>
        </w:pBdr>
        <w:spacing w:before="360" w:after="160"/>
      </w:pPr>
      <w:r>
        <w:rPr>
          <w:rFonts w:ascii="Calibri" w:cs="Calibri" w:eastAsia="Calibri" w:hAnsi="Calibri"/>
          <w:b/>
          <w:bCs/>
          <w:color w:val="000000"/>
          <w:sz w:val="36"/>
          <w:szCs w:val="36"/>
        </w:rPr>
        <w:t xml:space="preserve">1. </w:t>
      </w:r>
      <w:r>
        <w:rPr>
          <w:rFonts w:ascii="Calibri" w:cs="Calibri" w:eastAsia="Calibri" w:hAnsi="Calibri"/>
          <w:b/>
          <w:bCs/>
          <w:color w:val="000000"/>
          <w:sz w:val="36"/>
          <w:szCs w:val="36"/>
        </w:rPr>
        <w:t xml:space="preserve">Client requirements overview</w:t>
      </w:r>
    </w:p>
    <w:p>
      <w:pPr>
        <w:spacing w:before="80" w:after="80"/>
      </w:pPr>
      <w:r>
        <w:rPr>
          <w:rFonts w:ascii="Calibri" w:cs="Calibri" w:eastAsia="Calibri" w:hAnsi="Calibri"/>
          <w:color w:val="000000"/>
          <w:sz w:val="20"/>
          <w:szCs w:val="20"/>
        </w:rPr>
        <w:t xml:space="preserve">Document 1 is the client's current Discovery Insure Purple Plan (commencement 01/06/2018, next anniversary 01/06/2027, R7,838.64 per month). Documents 2, 3 and 4 are competing quotes from Bryte, MUA (Compass) and Apex (Guardrisk). The household at 1 Example Road, Sandton, 2196, insures a house (R9,801,960.56), contents (R2,947,241.03), portable items (R219,307.64), a 2015 Volkswagen Polo 1.2 TSI, a Toyota Corolla Cross (financed through Toyota Financial Services), a boat trailer (R23,300) and a ski boat (R116,500). The Discovery schedule records 0 claims, losses or incidents in the three years before cover started for both drivers, the trailer and the watercraft, with 3+ years at the previous insurer. Neither driver's licence is endorsed or suspended, and no special terms were imposed and no cover was ever refused or cancelled. MUA requires a full five-year claims and loss history within 30 days of going on risk. The client's priorities are full protection of a high-value home, valuables and vehicles, with price secondary.</w:t>
      </w:r>
    </w:p>
    <w:p>
      <w:pPr>
        <w:spacing w:before="120" w:after="120"/>
      </w:pPr>
      <w:r>
        <w:t xml:space="preserve"/>
      </w:r>
    </w:p>
    <w:p>
      <w:pPr>
        <w:keepNext/>
        <w:spacing w:before="80" w:after="80"/>
      </w:pPr>
      <w:r>
        <w:rPr>
          <w:rFonts w:ascii="Calibri" w:cs="Calibri" w:eastAsia="Calibri" w:hAnsi="Calibri"/>
          <w:b/>
          <w:bCs/>
          <w:color w:val="000000"/>
          <w:sz w:val="20"/>
          <w:szCs w:val="20"/>
        </w:rPr>
        <w:t xml:space="preserve">Key Considerations:</w:t>
      </w:r>
    </w:p>
    <w:p>
      <w:pPr>
        <w:pStyle w:val="ListParagraph"/>
        <w:numPr>
          <w:ilvl w:val="0"/>
          <w:numId w:val="1"/>
        </w:numPr>
        <w:spacing w:before="40" w:after="40"/>
      </w:pPr>
      <w:r>
        <w:rPr>
          <w:rFonts w:ascii="Calibri" w:cs="Calibri" w:eastAsia="Calibri" w:hAnsi="Calibri"/>
          <w:color w:val="000000"/>
          <w:sz w:val="20"/>
          <w:szCs w:val="20"/>
        </w:rPr>
        <w:t xml:space="preserve">Whether accidental damage, power surge and subsidence cover are genuinely included or merely available as extras, since the quotes treat them very differently.</w:t>
      </w:r>
    </w:p>
    <w:p>
      <w:pPr>
        <w:pStyle w:val="ListParagraph"/>
        <w:numPr>
          <w:ilvl w:val="0"/>
          <w:numId w:val="1"/>
        </w:numPr>
        <w:spacing w:before="40" w:after="40"/>
      </w:pPr>
      <w:r>
        <w:rPr>
          <w:rFonts w:ascii="Calibri" w:cs="Calibri" w:eastAsia="Calibri" w:hAnsi="Calibri"/>
          <w:color w:val="000000"/>
          <w:sz w:val="20"/>
          <w:szCs w:val="20"/>
        </w:rPr>
        <w:t xml:space="preserve">Security conditions that switch theft cover off, notably armed-response alarm warranties, safe warranties for jewellery and tracking-device requirements for the vehicles.</w:t>
      </w:r>
    </w:p>
    <w:p>
      <w:pPr>
        <w:pStyle w:val="ListParagraph"/>
        <w:numPr>
          <w:ilvl w:val="0"/>
          <w:numId w:val="1"/>
        </w:numPr>
        <w:spacing w:before="40" w:after="40"/>
      </w:pPr>
      <w:r>
        <w:rPr>
          <w:rFonts w:ascii="Calibri" w:cs="Calibri" w:eastAsia="Calibri" w:hAnsi="Calibri"/>
          <w:color w:val="000000"/>
          <w:sz w:val="20"/>
          <w:szCs w:val="20"/>
        </w:rPr>
        <w:t xml:space="preserve">Effective excess per claim on buildings, contents and each vehicle, including cumulative and conditional excesses.</w:t>
      </w:r>
    </w:p>
    <w:p>
      <w:pPr>
        <w:pStyle w:val="ListParagraph"/>
        <w:numPr>
          <w:ilvl w:val="0"/>
          <w:numId w:val="1"/>
        </w:numPr>
        <w:spacing w:before="40" w:after="40"/>
      </w:pPr>
      <w:r>
        <w:rPr>
          <w:rFonts w:ascii="Calibri" w:cs="Calibri" w:eastAsia="Calibri" w:hAnsi="Calibri"/>
          <w:color w:val="000000"/>
          <w:sz w:val="20"/>
          <w:szCs w:val="20"/>
        </w:rPr>
        <w:t xml:space="preserve">Adequacy of liability limits and the treatment of unspecified and specified portable items, including per-item limits.</w:t>
      </w:r>
    </w:p>
    <w:p>
      <w:pPr>
        <w:pStyle w:val="ListParagraph"/>
        <w:numPr>
          <w:ilvl w:val="0"/>
          <w:numId w:val="1"/>
        </w:numPr>
        <w:spacing w:before="40" w:after="40"/>
      </w:pPr>
      <w:r>
        <w:rPr>
          <w:rFonts w:ascii="Calibri" w:cs="Calibri" w:eastAsia="Calibri" w:hAnsi="Calibri"/>
          <w:color w:val="000000"/>
          <w:sz w:val="20"/>
          <w:szCs w:val="20"/>
        </w:rPr>
        <w:t xml:space="preserve">Accuracy of the risk information on each quote (driver details, class of use, finance interest) because errors can prejudice claims.</w:t>
      </w:r>
    </w:p>
    <w:p>
      <w:pPr>
        <w:pStyle w:val="ListParagraph"/>
        <w:numPr>
          <w:ilvl w:val="0"/>
          <w:numId w:val="1"/>
        </w:numPr>
        <w:spacing w:before="40" w:after="40"/>
      </w:pPr>
      <w:r>
        <w:rPr>
          <w:rFonts w:ascii="Calibri" w:cs="Calibri" w:eastAsia="Calibri" w:hAnsi="Calibri"/>
          <w:color w:val="000000"/>
          <w:sz w:val="20"/>
          <w:szCs w:val="20"/>
        </w:rPr>
        <w:t xml:space="preserve">Value of included benefits such as car hire, roadside and home assistance, and the fees and add-on products that make up each total premium.</w:t>
      </w:r>
    </w:p>
    <w:p>
      <w:pPr>
        <w:spacing w:before="160" w:after="160"/>
      </w:pPr>
      <w:r>
        <w:t xml:space="preserve"/>
      </w:r>
    </w:p>
    <w:p>
      <w:pPr>
        <w:pStyle w:val="Heading1"/>
        <w:keepNext/>
        <w:keepLines/>
        <w:pBdr>
          <w:bottom w:val="single" w:color="D3DBDD" w:sz="4" w:space="4"/>
        </w:pBdr>
        <w:spacing w:before="360" w:after="160"/>
      </w:pPr>
      <w:r>
        <w:rPr>
          <w:rFonts w:ascii="Calibri" w:cs="Calibri" w:eastAsia="Calibri" w:hAnsi="Calibri"/>
          <w:b/>
          <w:bCs/>
          <w:color w:val="000000"/>
          <w:sz w:val="36"/>
          <w:szCs w:val="36"/>
        </w:rPr>
        <w:t xml:space="preserve">2. </w:t>
      </w:r>
      <w:r>
        <w:rPr>
          <w:rFonts w:ascii="Calibri" w:cs="Calibri" w:eastAsia="Calibri" w:hAnsi="Calibri"/>
          <w:b/>
          <w:bCs/>
          <w:color w:val="000000"/>
          <w:sz w:val="36"/>
          <w:szCs w:val="36"/>
        </w:rPr>
        <w:t xml:space="preserve">Comparison summary</w:t>
      </w:r>
    </w:p>
    <w:p>
      <w:pPr>
        <w:pStyle w:val="Heading2"/>
        <w:keepNext/>
        <w:keepLines/>
        <w:spacing w:before="240" w:after="120"/>
      </w:pPr>
      <w:r>
        <w:rPr>
          <w:rFonts w:ascii="Calibri" w:cs="Calibri" w:eastAsia="Calibri" w:hAnsi="Calibri"/>
          <w:b/>
          <w:bCs/>
          <w:color w:val="000000"/>
          <w:sz w:val="26"/>
          <w:szCs w:val="26"/>
        </w:rPr>
        <w:t xml:space="preserve">2.1 </w:t>
      </w:r>
      <w:r>
        <w:rPr>
          <w:rFonts w:ascii="Calibri" w:cs="Calibri" w:eastAsia="Calibri" w:hAnsi="Calibri"/>
          <w:b/>
          <w:bCs/>
          <w:color w:val="000000"/>
          <w:sz w:val="26"/>
          <w:szCs w:val="26"/>
        </w:rPr>
        <w:t xml:space="preserve">Key differences</w:t>
      </w:r>
    </w:p>
    <w:tbl>
      <w:tblPr>
        <w:tblW w:type="dxa" w:w="7620"/>
        <w:tblBorders>
          <w:top w:val="nil" w:color="auto" w:sz="0"/>
          <w:left w:val="nil" w:color="auto" w:sz="0"/>
          <w:bottom w:val="nil" w:color="auto" w:sz="0"/>
          <w:right w:val="nil" w:color="auto" w:sz="0"/>
          <w:insideH w:val="nil" w:color="auto" w:sz="0"/>
          <w:insideV w:val="nil" w:color="auto" w:sz="0"/>
        </w:tblBorders>
        <w:tblLayout w:type="fixed"/>
      </w:tblPr>
      <w:tblGrid>
        <w:gridCol w:w="1500"/>
        <w:gridCol w:w="380"/>
        <w:gridCol w:w="1150"/>
        <w:gridCol w:w="380"/>
        <w:gridCol w:w="1150"/>
        <w:gridCol w:w="380"/>
        <w:gridCol w:w="1150"/>
        <w:gridCol w:w="380"/>
        <w:gridCol w:w="1150"/>
      </w:tblGrid>
      <w:tr>
        <w:trPr>
          <w:cantSplit/>
          <w:trHeight w:val="240" w:hRule="exact"/>
        </w:trPr>
        <w:tc>
          <w:tcPr>
            <w:tcW w:type="dxa" w:w="1500"/>
            <w:tcMar>
              <w:top w:type="dxa" w:w="0"/>
              <w:left w:type="dxa" w:w="0"/>
              <w:bottom w:type="dxa" w:w="0"/>
              <w:right w:type="dxa" w:w="0"/>
            </w:tcMar>
            <w:vAlign w:val="center"/>
          </w:tcPr>
          <w:p>
            <w:pPr>
              <w:keepNext/>
              <w:spacing w:before="0" w:after="0" w:line="240"/>
            </w:pPr>
            <w:r>
              <w:rPr>
                <w:rFonts w:ascii="Calibri" w:cs="Calibri" w:eastAsia="Calibri" w:hAnsi="Calibri"/>
                <w:b/>
                <w:bCs/>
                <w:caps/>
                <w:color w:val="000000"/>
                <w:spacing w:val="20"/>
                <w:sz w:val="15"/>
                <w:szCs w:val="15"/>
              </w:rPr>
              <w:t xml:space="preserve">Impact key</w:t>
            </w:r>
          </w:p>
        </w:tc>
        <w:tc>
          <w:tcPr>
            <w:tcW w:type="dxa" w:w="380"/>
            <w:tcBorders>
              <w:top w:val="single" w:color="E53935" w:sz="4"/>
              <w:left w:val="single" w:color="E53935" w:sz="4"/>
              <w:bottom w:val="single" w:color="E53935" w:sz="4"/>
              <w:right w:val="single" w:color="E53935" w:sz="4"/>
            </w:tcBorders>
            <w:shd w:fill="E53935" w:color="auto" w:val="clear"/>
            <w:tcMar>
              <w:top w:type="dxa" w:w="0"/>
              <w:left w:type="dxa" w:w="0"/>
              <w:bottom w:type="dxa" w:w="0"/>
              <w:right w:type="dxa" w:w="0"/>
            </w:tcMar>
            <w:vAlign w:val="center"/>
          </w:tcPr>
          <w:p>
            <w:pPr>
              <w:keepNext/>
              <w:spacing w:before="0" w:after="0"/>
            </w:pPr>
          </w:p>
        </w:tc>
        <w:tc>
          <w:tcPr>
            <w:tcW w:type="dxa" w:w="1150"/>
            <w:tcMar>
              <w:top w:type="dxa" w:w="0"/>
              <w:left w:type="dxa" w:w="100"/>
              <w:bottom w:type="dxa" w:w="0"/>
              <w:right w:type="dxa" w:w="100"/>
            </w:tcMar>
            <w:vAlign w:val="center"/>
          </w:tcPr>
          <w:p>
            <w:pPr>
              <w:keepNext/>
              <w:spacing w:before="0" w:after="0" w:line="240"/>
            </w:pPr>
            <w:r>
              <w:rPr>
                <w:rFonts w:ascii="Calibri" w:cs="Calibri" w:eastAsia="Calibri" w:hAnsi="Calibri"/>
                <w:b/>
                <w:bCs/>
                <w:caps/>
                <w:color w:val="000000"/>
                <w:spacing w:val="6"/>
                <w:sz w:val="15"/>
                <w:szCs w:val="15"/>
              </w:rPr>
              <w:t xml:space="preserve">Critical</w:t>
            </w:r>
          </w:p>
        </w:tc>
        <w:tc>
          <w:tcPr>
            <w:tcW w:type="dxa" w:w="380"/>
            <w:tcBorders>
              <w:top w:val="single" w:color="FB8C00" w:sz="4"/>
              <w:left w:val="single" w:color="FB8C00" w:sz="4"/>
              <w:bottom w:val="single" w:color="FB8C00" w:sz="4"/>
              <w:right w:val="single" w:color="FB8C00" w:sz="4"/>
            </w:tcBorders>
            <w:shd w:fill="FB8C00" w:color="auto" w:val="clear"/>
            <w:tcMar>
              <w:top w:type="dxa" w:w="0"/>
              <w:left w:type="dxa" w:w="0"/>
              <w:bottom w:type="dxa" w:w="0"/>
              <w:right w:type="dxa" w:w="0"/>
            </w:tcMar>
            <w:vAlign w:val="center"/>
          </w:tcPr>
          <w:p>
            <w:pPr>
              <w:keepNext/>
              <w:spacing w:before="0" w:after="0"/>
            </w:pPr>
          </w:p>
        </w:tc>
        <w:tc>
          <w:tcPr>
            <w:tcW w:type="dxa" w:w="1150"/>
            <w:tcMar>
              <w:top w:type="dxa" w:w="0"/>
              <w:left w:type="dxa" w:w="100"/>
              <w:bottom w:type="dxa" w:w="0"/>
              <w:right w:type="dxa" w:w="100"/>
            </w:tcMar>
            <w:vAlign w:val="center"/>
          </w:tcPr>
          <w:p>
            <w:pPr>
              <w:keepNext/>
              <w:spacing w:before="0" w:after="0" w:line="240"/>
            </w:pPr>
            <w:r>
              <w:rPr>
                <w:rFonts w:ascii="Calibri" w:cs="Calibri" w:eastAsia="Calibri" w:hAnsi="Calibri"/>
                <w:b/>
                <w:bCs/>
                <w:caps/>
                <w:color w:val="000000"/>
                <w:spacing w:val="6"/>
                <w:sz w:val="15"/>
                <w:szCs w:val="15"/>
              </w:rPr>
              <w:t xml:space="preserve">High</w:t>
            </w:r>
          </w:p>
        </w:tc>
        <w:tc>
          <w:tcPr>
            <w:tcW w:type="dxa" w:w="380"/>
            <w:tcBorders>
              <w:top w:val="single" w:color="FDD835" w:sz="4"/>
              <w:left w:val="single" w:color="FDD835" w:sz="4"/>
              <w:bottom w:val="single" w:color="FDD835" w:sz="4"/>
              <w:right w:val="single" w:color="FDD835" w:sz="4"/>
            </w:tcBorders>
            <w:shd w:fill="FDD835" w:color="auto" w:val="clear"/>
            <w:tcMar>
              <w:top w:type="dxa" w:w="0"/>
              <w:left w:type="dxa" w:w="0"/>
              <w:bottom w:type="dxa" w:w="0"/>
              <w:right w:type="dxa" w:w="0"/>
            </w:tcMar>
            <w:vAlign w:val="center"/>
          </w:tcPr>
          <w:p>
            <w:pPr>
              <w:keepNext/>
              <w:spacing w:before="0" w:after="0"/>
            </w:pPr>
          </w:p>
        </w:tc>
        <w:tc>
          <w:tcPr>
            <w:tcW w:type="dxa" w:w="1150"/>
            <w:tcMar>
              <w:top w:type="dxa" w:w="0"/>
              <w:left w:type="dxa" w:w="100"/>
              <w:bottom w:type="dxa" w:w="0"/>
              <w:right w:type="dxa" w:w="100"/>
            </w:tcMar>
            <w:vAlign w:val="center"/>
          </w:tcPr>
          <w:p>
            <w:pPr>
              <w:keepNext/>
              <w:spacing w:before="0" w:after="0" w:line="240"/>
            </w:pPr>
            <w:r>
              <w:rPr>
                <w:rFonts w:ascii="Calibri" w:cs="Calibri" w:eastAsia="Calibri" w:hAnsi="Calibri"/>
                <w:b/>
                <w:bCs/>
                <w:caps/>
                <w:color w:val="000000"/>
                <w:spacing w:val="6"/>
                <w:sz w:val="15"/>
                <w:szCs w:val="15"/>
              </w:rPr>
              <w:t xml:space="preserve">Medium</w:t>
            </w:r>
          </w:p>
        </w:tc>
        <w:tc>
          <w:tcPr>
            <w:tcW w:type="dxa" w:w="380"/>
            <w:tcBorders>
              <w:top w:val="single" w:color="43A047" w:sz="4"/>
              <w:left w:val="single" w:color="43A047" w:sz="4"/>
              <w:bottom w:val="single" w:color="43A047" w:sz="4"/>
              <w:right w:val="single" w:color="43A047" w:sz="4"/>
            </w:tcBorders>
            <w:shd w:fill="43A047" w:color="auto" w:val="clear"/>
            <w:tcMar>
              <w:top w:type="dxa" w:w="0"/>
              <w:left w:type="dxa" w:w="0"/>
              <w:bottom w:type="dxa" w:w="0"/>
              <w:right w:type="dxa" w:w="0"/>
            </w:tcMar>
            <w:vAlign w:val="center"/>
          </w:tcPr>
          <w:p>
            <w:pPr>
              <w:keepNext/>
              <w:spacing w:before="0" w:after="0"/>
            </w:pPr>
          </w:p>
        </w:tc>
        <w:tc>
          <w:tcPr>
            <w:tcW w:type="dxa" w:w="1150"/>
            <w:tcMar>
              <w:top w:type="dxa" w:w="0"/>
              <w:left w:type="dxa" w:w="100"/>
              <w:bottom w:type="dxa" w:w="0"/>
              <w:right w:type="dxa" w:w="100"/>
            </w:tcMar>
            <w:vAlign w:val="center"/>
          </w:tcPr>
          <w:p>
            <w:pPr>
              <w:keepNext/>
              <w:spacing w:before="0" w:after="0" w:line="240"/>
            </w:pPr>
            <w:r>
              <w:rPr>
                <w:rFonts w:ascii="Calibri" w:cs="Calibri" w:eastAsia="Calibri" w:hAnsi="Calibri"/>
                <w:b/>
                <w:bCs/>
                <w:caps/>
                <w:color w:val="000000"/>
                <w:spacing w:val="6"/>
                <w:sz w:val="15"/>
                <w:szCs w:val="15"/>
              </w:rPr>
              <w:t xml:space="preserve">Low</w:t>
            </w:r>
          </w:p>
        </w:tc>
      </w:tr>
    </w:tbl>
    <w:p>
      <w:pPr>
        <w:keepNext/>
        <w:spacing w:before="0" w:after="0" w:line="120" w:lineRule="exact"/>
      </w:pPr>
    </w:p>
    <w:tbl>
      <w:tblPr>
        <w:tblW w:type="pct" w:w="5000%"/>
        <w:tblBorders>
          <w:top w:val="single" w:color="D3DBDD" w:sz="4"/>
          <w:left w:val="single" w:color="D3DBDD" w:sz="4"/>
          <w:bottom w:val="single" w:color="D3DBDD" w:sz="4"/>
          <w:right w:val="single" w:color="D3DBDD" w:sz="4"/>
          <w:insideH w:val="single" w:color="D3DBDD" w:sz="4"/>
          <w:insideV w:val="single" w:color="D3DBDD" w:sz="4"/>
        </w:tblBorders>
        <w:tblLayout w:type="fixed"/>
      </w:tblPr>
      <w:tblGrid>
        <w:gridCol w:w="2907"/>
        <w:gridCol w:w="5814"/>
        <w:gridCol w:w="1745"/>
      </w:tblGrid>
      <w:tr>
        <w:trPr>
          <w:cantSplit/>
          <w:tblHeader/>
        </w:trPr>
        <w:tc>
          <w:tcPr>
            <w:tcBorders>
              <w:bottom w:val="single" w:color="2F3437" w:sz="4"/>
            </w:tcBorders>
            <w:shd w:fill="2F3437" w:color="2F3437" w:val="clear"/>
            <w:tcMar>
              <w:top w:type="dxa" w:w="144"/>
              <w:left w:type="dxa" w:w="144"/>
              <w:bottom w:type="dxa" w:w="104"/>
              <w:right w:type="dxa" w:w="144"/>
            </w:tcMar>
            <w:vAlign w:val="center"/>
          </w:tcPr>
          <w:p>
            <w:pPr>
              <w:keepNext/>
              <w:jc w:val="left"/>
            </w:pPr>
            <w:r>
              <w:rPr>
                <w:rFonts w:ascii="Calibri" w:cs="Calibri" w:eastAsia="Calibri" w:hAnsi="Calibri"/>
                <w:b/>
                <w:bCs/>
                <w:color w:val="FFFFFF"/>
                <w:spacing w:val="20"/>
                <w:sz w:val="16"/>
                <w:szCs w:val="16"/>
              </w:rPr>
              <w:t xml:space="preserve">FEATURE</w:t>
            </w:r>
          </w:p>
        </w:tc>
        <w:tc>
          <w:tcPr>
            <w:tcBorders>
              <w:bottom w:val="single" w:color="2F3437" w:sz="4"/>
            </w:tcBorders>
            <w:shd w:fill="2F3437" w:color="2F3437" w:val="clear"/>
            <w:tcMar>
              <w:top w:type="dxa" w:w="144"/>
              <w:left w:type="dxa" w:w="144"/>
              <w:bottom w:type="dxa" w:w="104"/>
              <w:right w:type="dxa" w:w="144"/>
            </w:tcMar>
            <w:vAlign w:val="center"/>
          </w:tcPr>
          <w:p>
            <w:pPr>
              <w:keepNext/>
              <w:jc w:val="left"/>
            </w:pPr>
            <w:r>
              <w:rPr>
                <w:rFonts w:ascii="Calibri" w:cs="Calibri" w:eastAsia="Calibri" w:hAnsi="Calibri"/>
                <w:b/>
                <w:bCs/>
                <w:color w:val="FFFFFF"/>
                <w:spacing w:val="20"/>
                <w:sz w:val="16"/>
                <w:szCs w:val="16"/>
              </w:rPr>
              <w:t xml:space="preserve">DIFFERENCES</w:t>
            </w:r>
          </w:p>
        </w:tc>
        <w:tc>
          <w:tcPr>
            <w:tcBorders>
              <w:bottom w:val="single" w:color="2F3437" w:sz="4"/>
            </w:tcBorders>
            <w:shd w:fill="2F3437" w:color="2F3437" w:val="clear"/>
            <w:tcMar>
              <w:top w:type="dxa" w:w="144"/>
              <w:left w:type="dxa" w:w="144"/>
              <w:bottom w:type="dxa" w:w="104"/>
              <w:right w:type="dxa" w:w="144"/>
            </w:tcMar>
            <w:vAlign w:val="center"/>
          </w:tcPr>
          <w:p>
            <w:pPr>
              <w:keepNext/>
              <w:jc w:val="left"/>
            </w:pPr>
            <w:r>
              <w:rPr>
                <w:rFonts w:ascii="Calibri" w:cs="Calibri" w:eastAsia="Calibri" w:hAnsi="Calibri"/>
                <w:b/>
                <w:bCs/>
                <w:color w:val="FFFFFF"/>
                <w:spacing w:val="20"/>
                <w:sz w:val="16"/>
                <w:szCs w:val="16"/>
              </w:rPr>
              <w:t xml:space="preserve">IMPACT</w:t>
            </w:r>
          </w:p>
        </w:tc>
      </w:tr>
      <w:tr>
        <w:trPr>
          <w:cantSplit/>
        </w:trPr>
        <w:tc>
          <w:tcPr>
            <w:tcMar>
              <w:top w:type="dxa" w:w="144"/>
              <w:left w:type="dxa" w:w="144"/>
              <w:bottom w:type="dxa" w:w="104"/>
              <w:right w:type="dxa" w:w="144"/>
            </w:tcMar>
          </w:tcPr>
          <w:p>
            <w:pPr>
              <w:spacing w:before="0" w:after="40"/>
              <w:jc w:val="left"/>
            </w:pPr>
            <w:r>
              <w:rPr>
                <w:rFonts w:ascii="Calibri" w:cs="Calibri" w:eastAsia="Calibri" w:hAnsi="Calibri"/>
                <w:b/>
                <w:bCs/>
                <w:i w:val="false"/>
                <w:iCs w:val="false"/>
                <w:color w:val="000000"/>
                <w:sz w:val="20"/>
                <w:szCs w:val="20"/>
              </w:rPr>
              <w:t xml:space="preserve">Total monthly cost</w:t>
            </w:r>
          </w:p>
        </w:tc>
        <w:tc>
          <w:tcPr>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Discovery (current) costs R7,838.64 per month including a R230.00 Vitality Drive line and two R145.00 Stolen Vehicle Recovery charges. Bryte is the lowest at R6,527.62 including R50.00 administrator fee and R97.00 value-added products. MUA is R6,830.46 monthly, with a stated annual premium of R75,762.17 that carries an annual-payment discount. Apex is R7,675.33 and is priced almost identically to Discovery on motor, trailer, watercraft and all risks lines. The lower premiums must be weighed against the cover differences below.</w:t>
            </w:r>
          </w:p>
        </w:tc>
        <w:tc>
          <w:tcPr>
            <w:shd w:fill="FB8C00" w:color="FB8C00" w:val="clear"/>
            <w:tcMar>
              <w:top w:type="dxa" w:w="144"/>
              <w:left w:type="dxa" w:w="144"/>
              <w:bottom w:type="dxa" w:w="104"/>
              <w:right w:type="dxa" w:w="144"/>
            </w:tcMar>
          </w:tcPr>
          <w:p>
            <w:pPr>
              <w:spacing w:before="0" w:after="40"/>
              <w:jc w:val="center"/>
            </w:pPr>
            <w:r>
              <w:rPr>
                <w:rFonts w:ascii="Calibri" w:cs="Calibri" w:eastAsia="Calibri" w:hAnsi="Calibri"/>
                <w:b/>
                <w:bCs/>
                <w:i w:val="false"/>
                <w:iCs w:val="false"/>
                <w:color w:val="FFFFFF"/>
                <w:sz w:val="18"/>
                <w:szCs w:val="18"/>
              </w:rPr>
              <w:t xml:space="preserve">HIGH</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bCs/>
                <w:i w:val="false"/>
                <w:iCs w:val="false"/>
                <w:color w:val="000000"/>
                <w:sz w:val="20"/>
                <w:szCs w:val="20"/>
              </w:rPr>
              <w:t xml:space="preserve">Accidental damage, power surge and subsidence</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Discovery includes accidental damage and power surge up to sum insured on buildings and contents, plus limited subsidence and landslip, at R0.00 additional premium. Bryte elects buildings accidental damage R100,000, power surge R50,000 and fixed-machinery breakdown R10,000, and contents accidental damage R10,000, electrical and mechanical breakdown R5,000 and power surge R10,000, all priced. Apex shows accidental damage, power surge and machinery breakdown as No on both buildings and contents. MUA lists subsidence and landslip as not selected and does not state the other perils.</w:t>
            </w:r>
          </w:p>
        </w:tc>
        <w:tc>
          <w:tcPr>
            <w:tcBorders>
              <w:top w:val="single" w:color="D3DBDD" w:sz="4"/>
            </w:tcBorders>
            <w:shd w:fill="FB8C00" w:color="FB8C00" w:val="clear"/>
            <w:tcMar>
              <w:top w:type="dxa" w:w="144"/>
              <w:left w:type="dxa" w:w="144"/>
              <w:bottom w:type="dxa" w:w="104"/>
              <w:right w:type="dxa" w:w="144"/>
            </w:tcMar>
          </w:tcPr>
          <w:p>
            <w:pPr>
              <w:spacing w:before="0" w:after="40"/>
              <w:jc w:val="center"/>
            </w:pPr>
            <w:r>
              <w:rPr>
                <w:rFonts w:ascii="Calibri" w:cs="Calibri" w:eastAsia="Calibri" w:hAnsi="Calibri"/>
                <w:b/>
                <w:bCs/>
                <w:i w:val="false"/>
                <w:iCs w:val="false"/>
                <w:color w:val="FFFFFF"/>
                <w:sz w:val="18"/>
                <w:szCs w:val="18"/>
              </w:rPr>
              <w:t xml:space="preserve">HIGH</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bCs/>
                <w:i w:val="false"/>
                <w:iCs w:val="false"/>
                <w:color w:val="000000"/>
                <w:sz w:val="20"/>
                <w:szCs w:val="20"/>
              </w:rPr>
              <w:t xml:space="preserve">Armed-response and theft security conditions</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Bryte records Alarm with Armed Response as No, yet requires a linked 24-hour armed-response alarm where the contents sum insured is R750,000 or more (R2,947,241 here), with an additional excess of 10% of the claim, minimum R10,000, if not met. MUA will not cover theft unless an armed-response linked alarm is in place before cover. Discovery has a burglar alarm warranty requiring an armed-response contract, and records a radio-linked alarm. Apex records a linked alarm with armed response left blank.</w:t>
            </w:r>
          </w:p>
        </w:tc>
        <w:tc>
          <w:tcPr>
            <w:tcBorders>
              <w:top w:val="single" w:color="D3DBDD" w:sz="4"/>
            </w:tcBorders>
            <w:shd w:fill="E53935" w:color="E53935" w:val="clear"/>
            <w:tcMar>
              <w:top w:type="dxa" w:w="144"/>
              <w:left w:type="dxa" w:w="144"/>
              <w:bottom w:type="dxa" w:w="104"/>
              <w:right w:type="dxa" w:w="144"/>
            </w:tcMar>
          </w:tcPr>
          <w:p>
            <w:pPr>
              <w:spacing w:before="0" w:after="40"/>
              <w:jc w:val="center"/>
            </w:pPr>
            <w:r>
              <w:rPr>
                <w:rFonts w:ascii="Calibri" w:cs="Calibri" w:eastAsia="Calibri" w:hAnsi="Calibri"/>
                <w:b/>
                <w:bCs/>
                <w:i w:val="false"/>
                <w:iCs w:val="false"/>
                <w:color w:val="FFFFFF"/>
                <w:sz w:val="18"/>
                <w:szCs w:val="18"/>
              </w:rPr>
              <w:t xml:space="preserve">CRITICAL</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bCs/>
                <w:i w:val="false"/>
                <w:iCs w:val="false"/>
                <w:color w:val="000000"/>
                <w:sz w:val="20"/>
                <w:szCs w:val="20"/>
              </w:rPr>
              <w:t xml:space="preserve">Excess levels</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Contents basic excess: Discovery R1,750.00, Bryte R750, MUA R2,000.00, Apex R750. Buildings: Discovery R1,000.00, Bryte R1,000, MUA R2,000.00, Apex R750. Motor basic excess: Discovery R5,500.00 per vehicle, Bryte R4,000 (plus cumulative theft and night-time single-vehicle excesses), MUA R3,500.00 and R5,000.00, Apex R3,750 and R5,750. Discovery carries the highest motor and contents excesses.</w:t>
            </w:r>
          </w:p>
        </w:tc>
        <w:tc>
          <w:tcPr>
            <w:tcBorders>
              <w:top w:val="single" w:color="D3DBDD" w:sz="4"/>
            </w:tcBorders>
            <w:shd w:fill="FB8C00" w:color="FB8C00" w:val="clear"/>
            <w:tcMar>
              <w:top w:type="dxa" w:w="144"/>
              <w:left w:type="dxa" w:w="144"/>
              <w:bottom w:type="dxa" w:w="104"/>
              <w:right w:type="dxa" w:w="144"/>
            </w:tcMar>
          </w:tcPr>
          <w:p>
            <w:pPr>
              <w:spacing w:before="0" w:after="40"/>
              <w:jc w:val="center"/>
            </w:pPr>
            <w:r>
              <w:rPr>
                <w:rFonts w:ascii="Calibri" w:cs="Calibri" w:eastAsia="Calibri" w:hAnsi="Calibri"/>
                <w:b/>
                <w:bCs/>
                <w:i w:val="false"/>
                <w:iCs w:val="false"/>
                <w:color w:val="FFFFFF"/>
                <w:sz w:val="18"/>
                <w:szCs w:val="18"/>
              </w:rPr>
              <w:t xml:space="preserve">HIGH</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bCs/>
                <w:i w:val="false"/>
                <w:iCs w:val="false"/>
                <w:color w:val="000000"/>
                <w:sz w:val="20"/>
                <w:szCs w:val="20"/>
              </w:rPr>
              <w:t xml:space="preserve">Product tier: MUA Executive</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MUA is the only Executive-tier product. Its schedule shows no quantified Worldwide Cover under the MUA Executive policy, and no excess and limits page was supplied, so the limit per claim, excess, valuables limit and conditions of that benefit cannot be confirmed. MUA does separately quote Unspecified All Risks R125,107.64 and Specified All Risks R94,200.00. Discovery, Bryte and Apex are standard-tier products.</w:t>
            </w:r>
          </w:p>
        </w:tc>
        <w:tc>
          <w:tcPr>
            <w:tcBorders>
              <w:top w:val="single" w:color="D3DBDD" w:sz="4"/>
            </w:tcBorders>
            <w:shd w:fill="FB8C00" w:color="FB8C00" w:val="clear"/>
            <w:tcMar>
              <w:top w:type="dxa" w:w="144"/>
              <w:left w:type="dxa" w:w="144"/>
              <w:bottom w:type="dxa" w:w="104"/>
              <w:right w:type="dxa" w:w="144"/>
            </w:tcMar>
          </w:tcPr>
          <w:p>
            <w:pPr>
              <w:spacing w:before="0" w:after="40"/>
              <w:jc w:val="center"/>
            </w:pPr>
            <w:r>
              <w:rPr>
                <w:rFonts w:ascii="Calibri" w:cs="Calibri" w:eastAsia="Calibri" w:hAnsi="Calibri"/>
                <w:b/>
                <w:bCs/>
                <w:i w:val="false"/>
                <w:iCs w:val="false"/>
                <w:color w:val="FFFFFF"/>
                <w:sz w:val="18"/>
                <w:szCs w:val="18"/>
              </w:rPr>
              <w:t xml:space="preserve">HIGH</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bCs/>
                <w:i w:val="false"/>
                <w:iCs w:val="false"/>
                <w:color w:val="000000"/>
                <w:sz w:val="20"/>
                <w:szCs w:val="20"/>
              </w:rPr>
              <w:t xml:space="preserve">All risks and portable items</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All four insure the same R219,308 of items. Discovery allows general and clothing items up to 25% of the sum insured with a maximum of R150,000 per item, premium R1,913.62 in total. Bryte limits unspecified items to R6,000 per item and requires safe storage and valuation certificates for jewellery over R10,000, at R814.63. MUA prices the section at R1,265.87 monthly. Apex mirrors Discovery's premium (R1,913.62), adds a R7,500 limit absent proof of ownership and a R30,000 remote-jamming extension.</w:t>
            </w:r>
          </w:p>
        </w:tc>
        <w:tc>
          <w:tcPr>
            <w:tcBorders>
              <w:top w:val="single" w:color="D3DBDD" w:sz="4"/>
            </w:tcBorders>
            <w:shd w:fill="FB8C00" w:color="FB8C00" w:val="clear"/>
            <w:tcMar>
              <w:top w:type="dxa" w:w="144"/>
              <w:left w:type="dxa" w:w="144"/>
              <w:bottom w:type="dxa" w:w="104"/>
              <w:right w:type="dxa" w:w="144"/>
            </w:tcMar>
          </w:tcPr>
          <w:p>
            <w:pPr>
              <w:spacing w:before="0" w:after="40"/>
              <w:jc w:val="center"/>
            </w:pPr>
            <w:r>
              <w:rPr>
                <w:rFonts w:ascii="Calibri" w:cs="Calibri" w:eastAsia="Calibri" w:hAnsi="Calibri"/>
                <w:b/>
                <w:bCs/>
                <w:i w:val="false"/>
                <w:iCs w:val="false"/>
                <w:color w:val="FFFFFF"/>
                <w:sz w:val="18"/>
                <w:szCs w:val="18"/>
              </w:rPr>
              <w:t xml:space="preserve">HIGH</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bCs/>
                <w:i w:val="false"/>
                <w:iCs w:val="false"/>
                <w:color w:val="000000"/>
                <w:sz w:val="20"/>
                <w:szCs w:val="20"/>
              </w:rPr>
              <w:t xml:space="preserve">Liability limits</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Discovery provides R50,000,000 personal liability. MUA provides R30,000,000. Bryte provides R2,500,000 personal legal responsibility plus R10,000,000 extended. Apex shows R1,000,000 personal legal liability with extended liability of R40,000,000 in the summary, but R20,000,000 per line in the detail and R10,000,000 in an endorsement, which is internally inconsistent.</w:t>
            </w:r>
          </w:p>
        </w:tc>
        <w:tc>
          <w:tcPr>
            <w:tcBorders>
              <w:top w:val="single" w:color="D3DBDD" w:sz="4"/>
            </w:tcBorders>
            <w:shd w:fill="FB8C00" w:color="FB8C00" w:val="clear"/>
            <w:tcMar>
              <w:top w:type="dxa" w:w="144"/>
              <w:left w:type="dxa" w:w="144"/>
              <w:bottom w:type="dxa" w:w="104"/>
              <w:right w:type="dxa" w:w="144"/>
            </w:tcMar>
          </w:tcPr>
          <w:p>
            <w:pPr>
              <w:spacing w:before="0" w:after="40"/>
              <w:jc w:val="center"/>
            </w:pPr>
            <w:r>
              <w:rPr>
                <w:rFonts w:ascii="Calibri" w:cs="Calibri" w:eastAsia="Calibri" w:hAnsi="Calibri"/>
                <w:b/>
                <w:bCs/>
                <w:i w:val="false"/>
                <w:iCs w:val="false"/>
                <w:color w:val="FFFFFF"/>
                <w:sz w:val="18"/>
                <w:szCs w:val="18"/>
              </w:rPr>
              <w:t xml:space="preserve">HIGH</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bCs/>
                <w:i w:val="false"/>
                <w:iCs w:val="false"/>
                <w:color w:val="000000"/>
                <w:sz w:val="20"/>
                <w:szCs w:val="20"/>
              </w:rPr>
              <w:t xml:space="preserve">Vehicle tracking and anti-theft requirements</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MUA makes an insurer-approved tracking device mandatory on the Corolla Cross (14-day grace), failing which theft and hijack are not covered. Apex provides no cover for stolen vehicles over R500,000 without an approved anti-theft or tracking device and leaves its tracking fields blank. Discovery states that no tracking device is required.</w:t>
            </w:r>
          </w:p>
        </w:tc>
        <w:tc>
          <w:tcPr>
            <w:tcBorders>
              <w:top w:val="single" w:color="D3DBDD" w:sz="4"/>
            </w:tcBorders>
            <w:shd w:fill="FB8C00" w:color="FB8C00" w:val="clear"/>
            <w:tcMar>
              <w:top w:type="dxa" w:w="144"/>
              <w:left w:type="dxa" w:w="144"/>
              <w:bottom w:type="dxa" w:w="104"/>
              <w:right w:type="dxa" w:w="144"/>
            </w:tcMar>
          </w:tcPr>
          <w:p>
            <w:pPr>
              <w:spacing w:before="0" w:after="40"/>
              <w:jc w:val="center"/>
            </w:pPr>
            <w:r>
              <w:rPr>
                <w:rFonts w:ascii="Calibri" w:cs="Calibri" w:eastAsia="Calibri" w:hAnsi="Calibri"/>
                <w:b/>
                <w:bCs/>
                <w:i w:val="false"/>
                <w:iCs w:val="false"/>
                <w:color w:val="FFFFFF"/>
                <w:sz w:val="18"/>
                <w:szCs w:val="18"/>
              </w:rPr>
              <w:t xml:space="preserve">HIGH</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bCs/>
                <w:i w:val="false"/>
                <w:iCs w:val="false"/>
                <w:color w:val="000000"/>
                <w:sz w:val="20"/>
                <w:szCs w:val="20"/>
              </w:rPr>
              <w:t xml:space="preserve">Car hire and assistance benefits</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Discovery includes 30-day car hire, roadside, HomeAssist and Home protector at R0.00. MUA elects 30-day car hire at R70.00 per vehicle plus roadside, home assist and concierge. Apex elects 45-day vehicle hire (R291.90 total) plus roadside and home assist (R60.00). Bryte shows car hire as not selected, with Trisure Assist at R55.00.</w:t>
            </w:r>
          </w:p>
        </w:tc>
        <w:tc>
          <w:tcPr>
            <w:tcBorders>
              <w:top w:val="single" w:color="D3DBDD" w:sz="4"/>
            </w:tcBorders>
            <w:shd w:fill="FDD835" w:color="FDD835" w:val="clear"/>
            <w:tcMar>
              <w:top w:type="dxa" w:w="144"/>
              <w:left w:type="dxa" w:w="144"/>
              <w:bottom w:type="dxa" w:w="104"/>
              <w:right w:type="dxa" w:w="144"/>
            </w:tcMar>
          </w:tcPr>
          <w:p>
            <w:pPr>
              <w:spacing w:before="0" w:after="40"/>
              <w:jc w:val="center"/>
            </w:pPr>
            <w:r>
              <w:rPr>
                <w:rFonts w:ascii="Calibri" w:cs="Calibri" w:eastAsia="Calibri" w:hAnsi="Calibri"/>
                <w:b/>
                <w:bCs/>
                <w:i w:val="false"/>
                <w:iCs w:val="false"/>
                <w:color w:val="000000"/>
                <w:sz w:val="18"/>
                <w:szCs w:val="18"/>
              </w:rPr>
              <w:t xml:space="preserve">MEDIUM</w:t>
            </w:r>
          </w:p>
        </w:tc>
      </w:tr>
    </w:tbl>
    <w:p>
      <w:pPr>
        <w:spacing w:before="120" w:after="120"/>
      </w:pPr>
      <w:r>
        <w:t xml:space="preserve"/>
      </w:r>
    </w:p>
    <w:p>
      <w:pPr>
        <w:pStyle w:val="Heading2"/>
        <w:keepNext/>
        <w:keepLines/>
        <w:spacing w:before="240" w:after="120"/>
      </w:pPr>
      <w:r>
        <w:rPr>
          <w:rFonts w:ascii="Calibri" w:cs="Calibri" w:eastAsia="Calibri" w:hAnsi="Calibri"/>
          <w:b/>
          <w:bCs/>
          <w:color w:val="000000"/>
          <w:sz w:val="26"/>
          <w:szCs w:val="26"/>
        </w:rPr>
        <w:t xml:space="preserve">2.2 </w:t>
      </w:r>
      <w:r>
        <w:rPr>
          <w:rFonts w:ascii="Calibri" w:cs="Calibri" w:eastAsia="Calibri" w:hAnsi="Calibri"/>
          <w:b/>
          <w:bCs/>
          <w:color w:val="000000"/>
          <w:sz w:val="26"/>
          <w:szCs w:val="26"/>
        </w:rPr>
        <w:t xml:space="preserve">Coverage gaps identified</w:t>
      </w:r>
    </w:p>
    <w:tbl>
      <w:tblPr>
        <w:tblW w:type="pct" w:w="5000%"/>
        <w:tblBorders>
          <w:top w:val="single" w:color="D3DBDD" w:sz="4"/>
          <w:left w:val="single" w:color="D3DBDD" w:sz="4"/>
          <w:bottom w:val="single" w:color="D3DBDD" w:sz="4"/>
          <w:right w:val="single" w:color="D3DBDD" w:sz="4"/>
          <w:insideH w:val="single" w:color="D3DBDD" w:sz="4"/>
          <w:insideV w:val="single" w:color="D3DBDD" w:sz="4"/>
        </w:tblBorders>
        <w:tblLayout w:type="fixed"/>
      </w:tblPr>
      <w:tblGrid>
        <w:gridCol w:w="3634"/>
        <w:gridCol w:w="1744"/>
        <w:gridCol w:w="5088"/>
      </w:tblGrid>
      <w:tr>
        <w:trPr>
          <w:cantSplit/>
          <w:tblHeader/>
        </w:trPr>
        <w:tc>
          <w:tcPr>
            <w:tcBorders>
              <w:bottom w:val="single" w:color="2F3437" w:sz="4"/>
            </w:tcBorders>
            <w:shd w:fill="2F3437" w:color="2F3437" w:val="clear"/>
            <w:tcMar>
              <w:top w:type="dxa" w:w="144"/>
              <w:left w:type="dxa" w:w="144"/>
              <w:bottom w:type="dxa" w:w="104"/>
              <w:right w:type="dxa" w:w="144"/>
            </w:tcMar>
            <w:vAlign w:val="center"/>
          </w:tcPr>
          <w:p>
            <w:pPr>
              <w:keepNext/>
              <w:jc w:val="left"/>
            </w:pPr>
            <w:r>
              <w:rPr>
                <w:rFonts w:ascii="Calibri" w:cs="Calibri" w:eastAsia="Calibri" w:hAnsi="Calibri"/>
                <w:b/>
                <w:bCs/>
                <w:color w:val="FFFFFF"/>
                <w:spacing w:val="20"/>
                <w:sz w:val="16"/>
                <w:szCs w:val="16"/>
              </w:rPr>
              <w:t xml:space="preserve">GAP</w:t>
            </w:r>
          </w:p>
        </w:tc>
        <w:tc>
          <w:tcPr>
            <w:tcBorders>
              <w:bottom w:val="single" w:color="2F3437" w:sz="4"/>
            </w:tcBorders>
            <w:shd w:fill="2F3437" w:color="2F3437" w:val="clear"/>
            <w:tcMar>
              <w:top w:type="dxa" w:w="144"/>
              <w:left w:type="dxa" w:w="144"/>
              <w:bottom w:type="dxa" w:w="104"/>
              <w:right w:type="dxa" w:w="144"/>
            </w:tcMar>
            <w:vAlign w:val="center"/>
          </w:tcPr>
          <w:p>
            <w:pPr>
              <w:keepNext/>
              <w:jc w:val="left"/>
            </w:pPr>
            <w:r>
              <w:rPr>
                <w:rFonts w:ascii="Calibri" w:cs="Calibri" w:eastAsia="Calibri" w:hAnsi="Calibri"/>
                <w:b/>
                <w:bCs/>
                <w:color w:val="FFFFFF"/>
                <w:spacing w:val="20"/>
                <w:sz w:val="16"/>
                <w:szCs w:val="16"/>
              </w:rPr>
              <w:t xml:space="preserve">IMPACT</w:t>
            </w:r>
          </w:p>
        </w:tc>
        <w:tc>
          <w:tcPr>
            <w:tcBorders>
              <w:bottom w:val="single" w:color="2F3437" w:sz="4"/>
            </w:tcBorders>
            <w:shd w:fill="2F3437" w:color="2F3437" w:val="clear"/>
            <w:tcMar>
              <w:top w:type="dxa" w:w="144"/>
              <w:left w:type="dxa" w:w="144"/>
              <w:bottom w:type="dxa" w:w="104"/>
              <w:right w:type="dxa" w:w="144"/>
            </w:tcMar>
            <w:vAlign w:val="center"/>
          </w:tcPr>
          <w:p>
            <w:pPr>
              <w:keepNext/>
              <w:jc w:val="left"/>
            </w:pPr>
            <w:r>
              <w:rPr>
                <w:rFonts w:ascii="Calibri" w:cs="Calibri" w:eastAsia="Calibri" w:hAnsi="Calibri"/>
                <w:b/>
                <w:bCs/>
                <w:color w:val="FFFFFF"/>
                <w:spacing w:val="20"/>
                <w:sz w:val="16"/>
                <w:szCs w:val="16"/>
              </w:rPr>
              <w:t xml:space="preserve">COMPARISON</w:t>
            </w:r>
          </w:p>
        </w:tc>
      </w:tr>
      <w:tr>
        <w:trPr>
          <w:cantSplit/>
        </w:trPr>
        <w:tc>
          <w:tcPr>
            <w:tcMar>
              <w:top w:type="dxa" w:w="144"/>
              <w:left w:type="dxa" w:w="144"/>
              <w:bottom w:type="dxa" w:w="104"/>
              <w:right w:type="dxa" w:w="144"/>
            </w:tcMar>
          </w:tcPr>
          <w:p>
            <w:pPr>
              <w:spacing w:before="0" w:after="40"/>
              <w:jc w:val="left"/>
            </w:pPr>
            <w:r>
              <w:rPr>
                <w:rFonts w:ascii="Calibri" w:cs="Calibri" w:eastAsia="Calibri" w:hAnsi="Calibri"/>
                <w:b/>
                <w:bCs/>
                <w:i w:val="false"/>
                <w:iCs w:val="false"/>
                <w:color w:val="000000"/>
                <w:sz w:val="20"/>
                <w:szCs w:val="20"/>
              </w:rPr>
              <w:t xml:space="preserve">Bryte contents: armed-response alarm requirement not met</w:t>
            </w:r>
          </w:p>
        </w:tc>
        <w:tc>
          <w:tcPr>
            <w:shd w:fill="E53935" w:color="E53935" w:val="clear"/>
            <w:tcMar>
              <w:top w:type="dxa" w:w="144"/>
              <w:left w:type="dxa" w:w="144"/>
              <w:bottom w:type="dxa" w:w="104"/>
              <w:right w:type="dxa" w:w="144"/>
            </w:tcMar>
          </w:tcPr>
          <w:p>
            <w:pPr>
              <w:spacing w:before="0" w:after="40"/>
              <w:jc w:val="center"/>
            </w:pPr>
            <w:r>
              <w:rPr>
                <w:rFonts w:ascii="Calibri" w:cs="Calibri" w:eastAsia="Calibri" w:hAnsi="Calibri"/>
                <w:b/>
                <w:bCs/>
                <w:i w:val="false"/>
                <w:iCs w:val="false"/>
                <w:color w:val="FFFFFF"/>
                <w:sz w:val="18"/>
                <w:szCs w:val="18"/>
              </w:rPr>
              <w:t xml:space="preserve">CRITICAL</w:t>
            </w:r>
          </w:p>
        </w:tc>
        <w:tc>
          <w:tcPr>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Discovery: radio-linked alarm Yes, armed-response warranty applies | Bryte: armed response No, additional excess 10% of claim min R10,000 | MUA: armed response required before cover | Apex: linked alarm Yes, armed response not stated</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bCs/>
                <w:i w:val="false"/>
                <w:iCs w:val="false"/>
                <w:color w:val="000000"/>
                <w:sz w:val="20"/>
                <w:szCs w:val="20"/>
              </w:rPr>
              <w:t xml:space="preserve">MUA subsidence and landslip not selected</w:t>
            </w:r>
          </w:p>
        </w:tc>
        <w:tc>
          <w:tcPr>
            <w:tcBorders>
              <w:top w:val="single" w:color="D3DBDD" w:sz="4"/>
            </w:tcBorders>
            <w:shd w:fill="FB8C00" w:color="FB8C00" w:val="clear"/>
            <w:tcMar>
              <w:top w:type="dxa" w:w="144"/>
              <w:left w:type="dxa" w:w="144"/>
              <w:bottom w:type="dxa" w:w="104"/>
              <w:right w:type="dxa" w:w="144"/>
            </w:tcMar>
          </w:tcPr>
          <w:p>
            <w:pPr>
              <w:spacing w:before="0" w:after="40"/>
              <w:jc w:val="center"/>
            </w:pPr>
            <w:r>
              <w:rPr>
                <w:rFonts w:ascii="Calibri" w:cs="Calibri" w:eastAsia="Calibri" w:hAnsi="Calibri"/>
                <w:b/>
                <w:bCs/>
                <w:i w:val="false"/>
                <w:iCs w:val="false"/>
                <w:color w:val="FFFFFF"/>
                <w:sz w:val="18"/>
                <w:szCs w:val="18"/>
              </w:rPr>
              <w:t xml:space="preserve">HIGH</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Discovery: limited cover included | Bryte: partial cover Yes | MUA: No | Apex: limited cover Yes, extended No</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bCs/>
                <w:i w:val="false"/>
                <w:iCs w:val="false"/>
                <w:color w:val="000000"/>
                <w:sz w:val="20"/>
                <w:szCs w:val="20"/>
              </w:rPr>
              <w:t xml:space="preserve">Apex declines accidental damage and power surge on buildings and contents</w:t>
            </w:r>
          </w:p>
        </w:tc>
        <w:tc>
          <w:tcPr>
            <w:tcBorders>
              <w:top w:val="single" w:color="D3DBDD" w:sz="4"/>
            </w:tcBorders>
            <w:shd w:fill="FB8C00" w:color="FB8C00" w:val="clear"/>
            <w:tcMar>
              <w:top w:type="dxa" w:w="144"/>
              <w:left w:type="dxa" w:w="144"/>
              <w:bottom w:type="dxa" w:w="104"/>
              <w:right w:type="dxa" w:w="144"/>
            </w:tcMar>
          </w:tcPr>
          <w:p>
            <w:pPr>
              <w:spacing w:before="0" w:after="40"/>
              <w:jc w:val="center"/>
            </w:pPr>
            <w:r>
              <w:rPr>
                <w:rFonts w:ascii="Calibri" w:cs="Calibri" w:eastAsia="Calibri" w:hAnsi="Calibri"/>
                <w:b/>
                <w:bCs/>
                <w:i w:val="false"/>
                <w:iCs w:val="false"/>
                <w:color w:val="FFFFFF"/>
                <w:sz w:val="18"/>
                <w:szCs w:val="18"/>
              </w:rPr>
              <w:t xml:space="preserve">HIGH</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Discovery: included up to sum insured | Bryte: elected with limits | MUA: not stated | Apex: No</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bCs/>
                <w:i w:val="false"/>
                <w:iCs w:val="false"/>
                <w:color w:val="000000"/>
                <w:sz w:val="20"/>
                <w:szCs w:val="20"/>
              </w:rPr>
              <w:t xml:space="preserve">Mandatory tracking or anti-theft devices on Corolla Cross</w:t>
            </w:r>
          </w:p>
        </w:tc>
        <w:tc>
          <w:tcPr>
            <w:tcBorders>
              <w:top w:val="single" w:color="D3DBDD" w:sz="4"/>
            </w:tcBorders>
            <w:shd w:fill="FB8C00" w:color="FB8C00" w:val="clear"/>
            <w:tcMar>
              <w:top w:type="dxa" w:w="144"/>
              <w:left w:type="dxa" w:w="144"/>
              <w:bottom w:type="dxa" w:w="104"/>
              <w:right w:type="dxa" w:w="144"/>
            </w:tcMar>
          </w:tcPr>
          <w:p>
            <w:pPr>
              <w:spacing w:before="0" w:after="40"/>
              <w:jc w:val="center"/>
            </w:pPr>
            <w:r>
              <w:rPr>
                <w:rFonts w:ascii="Calibri" w:cs="Calibri" w:eastAsia="Calibri" w:hAnsi="Calibri"/>
                <w:b/>
                <w:bCs/>
                <w:i w:val="false"/>
                <w:iCs w:val="false"/>
                <w:color w:val="FFFFFF"/>
                <w:sz w:val="18"/>
                <w:szCs w:val="18"/>
              </w:rPr>
              <w:t xml:space="preserve">HIGH</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Discovery: not required | Bryte: not stated | MUA: mandatory approved tracker | Apex: no cover over R500,000 without device</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bCs/>
                <w:i w:val="false"/>
                <w:iCs w:val="false"/>
                <w:color w:val="000000"/>
                <w:sz w:val="20"/>
                <w:szCs w:val="20"/>
              </w:rPr>
              <w:t xml:space="preserve">No credit shortfall elected on the financed Corolla Cross (Toyota Financial Services)</w:t>
            </w:r>
          </w:p>
        </w:tc>
        <w:tc>
          <w:tcPr>
            <w:tcBorders>
              <w:top w:val="single" w:color="D3DBDD" w:sz="4"/>
            </w:tcBorders>
            <w:shd w:fill="FDD835" w:color="FDD835" w:val="clear"/>
            <w:tcMar>
              <w:top w:type="dxa" w:w="144"/>
              <w:left w:type="dxa" w:w="144"/>
              <w:bottom w:type="dxa" w:w="104"/>
              <w:right w:type="dxa" w:w="144"/>
            </w:tcMar>
          </w:tcPr>
          <w:p>
            <w:pPr>
              <w:spacing w:before="0" w:after="40"/>
              <w:jc w:val="center"/>
            </w:pPr>
            <w:r>
              <w:rPr>
                <w:rFonts w:ascii="Calibri" w:cs="Calibri" w:eastAsia="Calibri" w:hAnsi="Calibri"/>
                <w:b/>
                <w:bCs/>
                <w:i w:val="false"/>
                <w:iCs w:val="false"/>
                <w:color w:val="000000"/>
                <w:sz w:val="18"/>
                <w:szCs w:val="18"/>
              </w:rPr>
              <w:t xml:space="preserve">MEDIUM</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Discovery: not listed | Bryte: No | MUA: not listed | Apex: Not taken</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bCs/>
                <w:i w:val="false"/>
                <w:iCs w:val="false"/>
                <w:color w:val="000000"/>
                <w:sz w:val="20"/>
                <w:szCs w:val="20"/>
              </w:rPr>
              <w:t xml:space="preserve">Bryte unspecified item limit of R6,000 per item</w:t>
            </w:r>
          </w:p>
        </w:tc>
        <w:tc>
          <w:tcPr>
            <w:tcBorders>
              <w:top w:val="single" w:color="D3DBDD" w:sz="4"/>
            </w:tcBorders>
            <w:shd w:fill="FDD835" w:color="FDD835" w:val="clear"/>
            <w:tcMar>
              <w:top w:type="dxa" w:w="144"/>
              <w:left w:type="dxa" w:w="144"/>
              <w:bottom w:type="dxa" w:w="104"/>
              <w:right w:type="dxa" w:w="144"/>
            </w:tcMar>
          </w:tcPr>
          <w:p>
            <w:pPr>
              <w:spacing w:before="0" w:after="40"/>
              <w:jc w:val="center"/>
            </w:pPr>
            <w:r>
              <w:rPr>
                <w:rFonts w:ascii="Calibri" w:cs="Calibri" w:eastAsia="Calibri" w:hAnsi="Calibri"/>
                <w:b/>
                <w:bCs/>
                <w:i w:val="false"/>
                <w:iCs w:val="false"/>
                <w:color w:val="000000"/>
                <w:sz w:val="18"/>
                <w:szCs w:val="18"/>
              </w:rPr>
              <w:t xml:space="preserve">MEDIUM</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Discovery: 25% of sum insured max R150,000 | Bryte: R6,000 | MUA: not stated | Apex: not stated</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bCs/>
                <w:i w:val="false"/>
                <w:iCs w:val="false"/>
                <w:color w:val="000000"/>
                <w:sz w:val="20"/>
                <w:szCs w:val="20"/>
              </w:rPr>
              <w:t xml:space="preserve">Risk-data discrepancies on quotes</w:t>
            </w:r>
          </w:p>
        </w:tc>
        <w:tc>
          <w:tcPr>
            <w:tcBorders>
              <w:top w:val="single" w:color="D3DBDD" w:sz="4"/>
            </w:tcBorders>
            <w:shd w:fill="FB8C00" w:color="FB8C00" w:val="clear"/>
            <w:tcMar>
              <w:top w:type="dxa" w:w="144"/>
              <w:left w:type="dxa" w:w="144"/>
              <w:bottom w:type="dxa" w:w="104"/>
              <w:right w:type="dxa" w:w="144"/>
            </w:tcMar>
          </w:tcPr>
          <w:p>
            <w:pPr>
              <w:spacing w:before="0" w:after="40"/>
              <w:jc w:val="center"/>
            </w:pPr>
            <w:r>
              <w:rPr>
                <w:rFonts w:ascii="Calibri" w:cs="Calibri" w:eastAsia="Calibri" w:hAnsi="Calibri"/>
                <w:b/>
                <w:bCs/>
                <w:i w:val="false"/>
                <w:iCs w:val="false"/>
                <w:color w:val="FFFFFF"/>
                <w:sz w:val="18"/>
                <w:szCs w:val="18"/>
              </w:rPr>
              <w:t xml:space="preserve">HIGH</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MUA: both vehicles show main driver Mr J Sample, date of birth 01/02/1971, gender Female | Apex: business class of use and liability limits inconsistent | Bryte: Polo driver licence year 1993 against 2004 on Discovery</w:t>
            </w:r>
          </w:p>
        </w:tc>
      </w:tr>
    </w:tbl>
    <w:p>
      <w:pPr>
        <w:spacing w:before="120" w:after="120"/>
      </w:pPr>
      <w:r>
        <w:t xml:space="preserve"/>
      </w:r>
    </w:p>
    <w:p>
      <w:pPr>
        <w:pStyle w:val="Heading2"/>
        <w:keepNext/>
        <w:keepLines/>
        <w:spacing w:before="240" w:after="120"/>
      </w:pPr>
      <w:r>
        <w:rPr>
          <w:rFonts w:ascii="Calibri" w:cs="Calibri" w:eastAsia="Calibri" w:hAnsi="Calibri"/>
          <w:b/>
          <w:bCs/>
          <w:color w:val="000000"/>
          <w:sz w:val="26"/>
          <w:szCs w:val="26"/>
        </w:rPr>
        <w:t xml:space="preserve">2.3 </w:t>
      </w:r>
      <w:r>
        <w:rPr>
          <w:rFonts w:ascii="Calibri" w:cs="Calibri" w:eastAsia="Calibri" w:hAnsi="Calibri"/>
          <w:b/>
          <w:bCs/>
          <w:color w:val="000000"/>
          <w:sz w:val="26"/>
          <w:szCs w:val="26"/>
        </w:rPr>
        <w:t xml:space="preserve">Exclusions comparison</w:t>
      </w:r>
    </w:p>
    <w:p>
      <w:pPr>
        <w:keepNext/>
        <w:spacing w:before="80" w:after="80"/>
      </w:pPr>
      <w:r>
        <w:rPr>
          <w:rFonts w:ascii="Calibri" w:cs="Calibri" w:eastAsia="Calibri" w:hAnsi="Calibri"/>
          <w:i/>
          <w:iCs/>
          <w:color w:val="000000"/>
          <w:sz w:val="20"/>
          <w:szCs w:val="20"/>
        </w:rPr>
        <w:t xml:space="preserve">The following exclusions apply across the policies being compared:</w:t>
      </w:r>
    </w:p>
    <w:tbl>
      <w:tblPr>
        <w:tblW w:type="pct" w:w="5000%"/>
        <w:tblBorders>
          <w:top w:val="single" w:color="D3DBDD" w:sz="4"/>
          <w:left w:val="single" w:color="D3DBDD" w:sz="4"/>
          <w:bottom w:val="single" w:color="D3DBDD" w:sz="4"/>
          <w:right w:val="single" w:color="D3DBDD" w:sz="4"/>
          <w:insideH w:val="single" w:color="D3DBDD" w:sz="4"/>
          <w:insideV w:val="single" w:color="D3DBDD" w:sz="4"/>
        </w:tblBorders>
        <w:tblLayout w:type="fixed"/>
      </w:tblPr>
      <w:tblGrid>
        <w:gridCol w:w="3198"/>
        <w:gridCol w:w="2617"/>
        <w:gridCol w:w="3198"/>
        <w:gridCol w:w="1453"/>
      </w:tblGrid>
      <w:tr>
        <w:trPr>
          <w:cantSplit/>
          <w:tblHeader/>
        </w:trPr>
        <w:tc>
          <w:tcPr>
            <w:tcBorders>
              <w:bottom w:val="single" w:color="2F3437" w:sz="4"/>
            </w:tcBorders>
            <w:shd w:fill="2F3437" w:color="2F3437" w:val="clear"/>
            <w:tcMar>
              <w:top w:type="dxa" w:w="144"/>
              <w:left w:type="dxa" w:w="144"/>
              <w:bottom w:type="dxa" w:w="104"/>
              <w:right w:type="dxa" w:w="144"/>
            </w:tcMar>
            <w:vAlign w:val="center"/>
          </w:tcPr>
          <w:p>
            <w:pPr>
              <w:keepNext/>
              <w:jc w:val="left"/>
            </w:pPr>
            <w:r>
              <w:rPr>
                <w:rFonts w:ascii="Calibri" w:cs="Calibri" w:eastAsia="Calibri" w:hAnsi="Calibri"/>
                <w:b/>
                <w:bCs/>
                <w:color w:val="FFFFFF"/>
                <w:spacing w:val="20"/>
                <w:sz w:val="16"/>
                <w:szCs w:val="16"/>
              </w:rPr>
              <w:t xml:space="preserve">EXCLUSION</w:t>
            </w:r>
          </w:p>
        </w:tc>
        <w:tc>
          <w:tcPr>
            <w:tcBorders>
              <w:bottom w:val="single" w:color="2F3437" w:sz="4"/>
            </w:tcBorders>
            <w:shd w:fill="2F3437" w:color="2F3437" w:val="clear"/>
            <w:tcMar>
              <w:top w:type="dxa" w:w="144"/>
              <w:left w:type="dxa" w:w="144"/>
              <w:bottom w:type="dxa" w:w="104"/>
              <w:right w:type="dxa" w:w="144"/>
            </w:tcMar>
            <w:vAlign w:val="center"/>
          </w:tcPr>
          <w:p>
            <w:pPr>
              <w:keepNext/>
              <w:jc w:val="left"/>
            </w:pPr>
            <w:r>
              <w:rPr>
                <w:rFonts w:ascii="Calibri" w:cs="Calibri" w:eastAsia="Calibri" w:hAnsi="Calibri"/>
                <w:b/>
                <w:bCs/>
                <w:color w:val="FFFFFF"/>
                <w:spacing w:val="20"/>
                <w:sz w:val="16"/>
                <w:szCs w:val="16"/>
              </w:rPr>
              <w:t xml:space="preserve">APPLIES TO</w:t>
            </w:r>
          </w:p>
        </w:tc>
        <w:tc>
          <w:tcPr>
            <w:tcBorders>
              <w:bottom w:val="single" w:color="2F3437" w:sz="4"/>
            </w:tcBorders>
            <w:shd w:fill="2F3437" w:color="2F3437" w:val="clear"/>
            <w:tcMar>
              <w:top w:type="dxa" w:w="144"/>
              <w:left w:type="dxa" w:w="144"/>
              <w:bottom w:type="dxa" w:w="104"/>
              <w:right w:type="dxa" w:w="144"/>
            </w:tcMar>
            <w:vAlign w:val="center"/>
          </w:tcPr>
          <w:p>
            <w:pPr>
              <w:keepNext/>
              <w:jc w:val="left"/>
            </w:pPr>
            <w:r>
              <w:rPr>
                <w:rFonts w:ascii="Calibri" w:cs="Calibri" w:eastAsia="Calibri" w:hAnsi="Calibri"/>
                <w:b/>
                <w:bCs/>
                <w:color w:val="FFFFFF"/>
                <w:spacing w:val="20"/>
                <w:sz w:val="16"/>
                <w:szCs w:val="16"/>
              </w:rPr>
              <w:t xml:space="preserve">IMPACT</w:t>
            </w:r>
          </w:p>
        </w:tc>
        <w:tc>
          <w:tcPr>
            <w:tcBorders>
              <w:bottom w:val="single" w:color="2F3437" w:sz="4"/>
            </w:tcBorders>
            <w:shd w:fill="2F3437" w:color="2F3437" w:val="clear"/>
            <w:tcMar>
              <w:top w:type="dxa" w:w="144"/>
              <w:left w:type="dxa" w:w="144"/>
              <w:bottom w:type="dxa" w:w="104"/>
              <w:right w:type="dxa" w:w="144"/>
            </w:tcMar>
            <w:vAlign w:val="center"/>
          </w:tcPr>
          <w:p>
            <w:pPr>
              <w:keepNext/>
              <w:jc w:val="left"/>
            </w:pPr>
            <w:r>
              <w:rPr>
                <w:rFonts w:ascii="Calibri" w:cs="Calibri" w:eastAsia="Calibri" w:hAnsi="Calibri"/>
                <w:b/>
                <w:bCs/>
                <w:color w:val="FFFFFF"/>
                <w:spacing w:val="20"/>
                <w:sz w:val="16"/>
                <w:szCs w:val="16"/>
              </w:rPr>
              <w:t xml:space="preserve">RISK</w:t>
            </w:r>
          </w:p>
        </w:tc>
      </w:tr>
      <w:tr>
        <w:trPr>
          <w:cantSplit/>
        </w:trPr>
        <w:tc>
          <w:tcPr>
            <w:tcMar>
              <w:top w:type="dxa" w:w="144"/>
              <w:left w:type="dxa" w:w="144"/>
              <w:bottom w:type="dxa" w:w="104"/>
              <w:right w:type="dxa" w:w="144"/>
            </w:tcMar>
          </w:tcPr>
          <w:p>
            <w:pPr>
              <w:spacing w:before="0" w:after="40"/>
              <w:jc w:val="left"/>
            </w:pPr>
            <w:r>
              <w:rPr>
                <w:rFonts w:ascii="Calibri" w:cs="Calibri" w:eastAsia="Calibri" w:hAnsi="Calibri"/>
                <w:b/>
                <w:bCs/>
                <w:i w:val="false"/>
                <w:iCs w:val="false"/>
                <w:color w:val="000000"/>
                <w:sz w:val="20"/>
                <w:szCs w:val="20"/>
              </w:rPr>
              <w:t xml:space="preserve">Theft excluded unless security warranty met (armed-response alarm, burglar bars)</w:t>
            </w:r>
          </w:p>
        </w:tc>
        <w:tc>
          <w:tcPr>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Discovery, MUA, Bryte (via additional excess), Apex (burglar bars condition)</w:t>
            </w:r>
          </w:p>
        </w:tc>
        <w:tc>
          <w:tcPr>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Non-compliance removes or reduces theft cover on a R2,947,241 contents sum insured.</w:t>
            </w:r>
          </w:p>
        </w:tc>
        <w:tc>
          <w:tcPr>
            <w:shd w:fill="E53935" w:color="E53935" w:val="clear"/>
            <w:tcMar>
              <w:top w:type="dxa" w:w="144"/>
              <w:left w:type="dxa" w:w="144"/>
              <w:bottom w:type="dxa" w:w="104"/>
              <w:right w:type="dxa" w:w="144"/>
            </w:tcMar>
          </w:tcPr>
          <w:p>
            <w:pPr>
              <w:spacing w:before="0" w:after="40"/>
              <w:jc w:val="center"/>
            </w:pPr>
            <w:r>
              <w:rPr>
                <w:rFonts w:ascii="Calibri" w:cs="Calibri" w:eastAsia="Calibri" w:hAnsi="Calibri"/>
                <w:b/>
                <w:bCs/>
                <w:i w:val="false"/>
                <w:iCs w:val="false"/>
                <w:color w:val="FFFFFF"/>
                <w:sz w:val="18"/>
                <w:szCs w:val="18"/>
              </w:rPr>
              <w:t xml:space="preserve">CRITICAL</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bCs/>
                <w:i w:val="false"/>
                <w:iCs w:val="false"/>
                <w:color w:val="000000"/>
                <w:sz w:val="20"/>
                <w:szCs w:val="20"/>
              </w:rPr>
              <w:t xml:space="preserve">Jewellery safe and valuation conditions</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Discovery (above R50,000 per item), Bryte (above R10,000; claim limited to R10,000 per item), Apex (scheduled amounts; R7,500 without proof of ownership), MUA (not stated)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The R51,400 platinum ring may be limited or repudiated if not worn or stored in a compliant safe.</w:t>
            </w:r>
          </w:p>
        </w:tc>
        <w:tc>
          <w:tcPr>
            <w:tcBorders>
              <w:top w:val="single" w:color="D3DBDD" w:sz="4"/>
            </w:tcBorders>
            <w:shd w:fill="FB8C00" w:color="FB8C00" w:val="clear"/>
            <w:tcMar>
              <w:top w:type="dxa" w:w="144"/>
              <w:left w:type="dxa" w:w="144"/>
              <w:bottom w:type="dxa" w:w="104"/>
              <w:right w:type="dxa" w:w="144"/>
            </w:tcMar>
          </w:tcPr>
          <w:p>
            <w:pPr>
              <w:spacing w:before="0" w:after="40"/>
              <w:jc w:val="center"/>
            </w:pPr>
            <w:r>
              <w:rPr>
                <w:rFonts w:ascii="Calibri" w:cs="Calibri" w:eastAsia="Calibri" w:hAnsi="Calibri"/>
                <w:b/>
                <w:bCs/>
                <w:i w:val="false"/>
                <w:iCs w:val="false"/>
                <w:color w:val="FFFFFF"/>
                <w:sz w:val="18"/>
                <w:szCs w:val="18"/>
              </w:rPr>
              <w:t xml:space="preserve">HIGH</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bCs/>
                <w:i w:val="false"/>
                <w:iCs w:val="false"/>
                <w:color w:val="000000"/>
                <w:sz w:val="20"/>
                <w:szCs w:val="20"/>
              </w:rPr>
              <w:t xml:space="preserve">No theft or hijack cover without required tracking or anti-theft device</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MUA (Corolla Cross), Apex (vehicles over R500,000)</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A missing device voids theft cover on the highest-value vehicle.</w:t>
            </w:r>
          </w:p>
        </w:tc>
        <w:tc>
          <w:tcPr>
            <w:tcBorders>
              <w:top w:val="single" w:color="D3DBDD" w:sz="4"/>
            </w:tcBorders>
            <w:shd w:fill="FB8C00" w:color="FB8C00" w:val="clear"/>
            <w:tcMar>
              <w:top w:type="dxa" w:w="144"/>
              <w:left w:type="dxa" w:w="144"/>
              <w:bottom w:type="dxa" w:w="104"/>
              <w:right w:type="dxa" w:w="144"/>
            </w:tcMar>
          </w:tcPr>
          <w:p>
            <w:pPr>
              <w:spacing w:before="0" w:after="40"/>
              <w:jc w:val="center"/>
            </w:pPr>
            <w:r>
              <w:rPr>
                <w:rFonts w:ascii="Calibri" w:cs="Calibri" w:eastAsia="Calibri" w:hAnsi="Calibri"/>
                <w:b/>
                <w:bCs/>
                <w:i w:val="false"/>
                <w:iCs w:val="false"/>
                <w:color w:val="FFFFFF"/>
                <w:sz w:val="18"/>
                <w:szCs w:val="18"/>
              </w:rPr>
              <w:t xml:space="preserve">HIGH</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bCs/>
                <w:i w:val="false"/>
                <w:iCs w:val="false"/>
                <w:color w:val="000000"/>
                <w:sz w:val="20"/>
                <w:szCs w:val="20"/>
              </w:rPr>
              <w:t xml:space="preserve">Pedal cycle valuation requirement</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Apex (no cover without valuation, invoice or catalogue value)</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The R42,800 mountain bike is uncovered if proof is not supplied.</w:t>
            </w:r>
          </w:p>
        </w:tc>
        <w:tc>
          <w:tcPr>
            <w:tcBorders>
              <w:top w:val="single" w:color="D3DBDD" w:sz="4"/>
            </w:tcBorders>
            <w:shd w:fill="FDD835" w:color="FDD835" w:val="clear"/>
            <w:tcMar>
              <w:top w:type="dxa" w:w="144"/>
              <w:left w:type="dxa" w:w="144"/>
              <w:bottom w:type="dxa" w:w="104"/>
              <w:right w:type="dxa" w:w="144"/>
            </w:tcMar>
          </w:tcPr>
          <w:p>
            <w:pPr>
              <w:spacing w:before="0" w:after="40"/>
              <w:jc w:val="center"/>
            </w:pPr>
            <w:r>
              <w:rPr>
                <w:rFonts w:ascii="Calibri" w:cs="Calibri" w:eastAsia="Calibri" w:hAnsi="Calibri"/>
                <w:b/>
                <w:bCs/>
                <w:i w:val="false"/>
                <w:iCs w:val="false"/>
                <w:color w:val="000000"/>
                <w:sz w:val="18"/>
                <w:szCs w:val="18"/>
              </w:rPr>
              <w:t xml:space="preserve">MEDIUM</w:t>
            </w:r>
          </w:p>
        </w:tc>
      </w:tr>
    </w:tbl>
    <w:p>
      <w:pPr>
        <w:spacing w:before="160" w:after="160"/>
      </w:pPr>
      <w:r>
        <w:t xml:space="preserve"/>
      </w:r>
    </w:p>
    <w:p>
      <w:pPr>
        <w:pStyle w:val="Heading1"/>
        <w:keepNext/>
        <w:keepLines/>
        <w:pBdr>
          <w:bottom w:val="single" w:color="D3DBDD" w:sz="4" w:space="4"/>
        </w:pBdr>
        <w:spacing w:before="360" w:after="160"/>
      </w:pPr>
      <w:r>
        <w:rPr>
          <w:rFonts w:ascii="Calibri" w:cs="Calibri" w:eastAsia="Calibri" w:hAnsi="Calibri"/>
          <w:b/>
          <w:bCs/>
          <w:color w:val="000000"/>
          <w:sz w:val="36"/>
          <w:szCs w:val="36"/>
        </w:rPr>
        <w:t xml:space="preserve">3. </w:t>
      </w:r>
      <w:r>
        <w:rPr>
          <w:rFonts w:ascii="Calibri" w:cs="Calibri" w:eastAsia="Calibri" w:hAnsi="Calibri"/>
          <w:b/>
          <w:bCs/>
          <w:color w:val="000000"/>
          <w:sz w:val="36"/>
          <w:szCs w:val="36"/>
        </w:rPr>
        <w:t xml:space="preserve">Global premium comparison</w:t>
      </w:r>
    </w:p>
    <w:tbl>
      <w:tblPr>
        <w:tblW w:type="pct" w:w="5000%"/>
        <w:tblBorders>
          <w:top w:val="single" w:color="D3DBDD" w:sz="4"/>
          <w:left w:val="single" w:color="D3DBDD" w:sz="4"/>
          <w:bottom w:val="single" w:color="D3DBDD" w:sz="4"/>
          <w:right w:val="single" w:color="D3DBDD" w:sz="4"/>
          <w:insideH w:val="single" w:color="D3DBDD" w:sz="4"/>
          <w:insideV w:val="single" w:color="D3DBDD" w:sz="4"/>
        </w:tblBorders>
        <w:tblLayout w:type="fixed"/>
      </w:tblPr>
      <w:tblGrid>
        <w:gridCol w:w="2907"/>
        <w:gridCol w:w="1890"/>
        <w:gridCol w:w="1890"/>
        <w:gridCol w:w="1890"/>
        <w:gridCol w:w="1889"/>
      </w:tblGrid>
      <w:tr>
        <w:trPr>
          <w:cantSplit/>
          <w:tblHeader/>
        </w:trPr>
        <w:tc>
          <w:tcPr>
            <w:tcBorders>
              <w:bottom w:val="single" w:color="2F3437" w:sz="4"/>
            </w:tcBorders>
            <w:shd w:fill="2F3437" w:color="2F3437" w:val="clear"/>
            <w:tcMar>
              <w:top w:type="dxa" w:w="144"/>
              <w:left w:type="dxa" w:w="144"/>
              <w:bottom w:type="dxa" w:w="104"/>
              <w:right w:type="dxa" w:w="144"/>
            </w:tcMar>
            <w:vAlign w:val="center"/>
          </w:tcPr>
          <w:p>
            <w:pPr>
              <w:keepNext/>
              <w:jc w:val="left"/>
            </w:pPr>
            <w:r>
              <w:rPr>
                <w:rFonts w:ascii="Calibri" w:cs="Calibri" w:eastAsia="Calibri" w:hAnsi="Calibri"/>
                <w:b/>
                <w:bCs/>
                <w:color w:val="FFFFFF"/>
                <w:spacing w:val="20"/>
                <w:sz w:val="16"/>
                <w:szCs w:val="16"/>
              </w:rPr>
              <w:t xml:space="preserve"/>
            </w:r>
          </w:p>
        </w:tc>
        <w:tc>
          <w:tcPr>
            <w:tcBorders>
              <w:bottom w:val="single" w:color="2F3437" w:sz="4"/>
            </w:tcBorders>
            <w:shd w:fill="2F3437" w:color="2F3437" w:val="clear"/>
            <w:tcMar>
              <w:top w:type="dxa" w:w="144"/>
              <w:left w:type="dxa" w:w="144"/>
              <w:bottom w:type="dxa" w:w="104"/>
              <w:right w:type="dxa" w:w="144"/>
            </w:tcMar>
            <w:vAlign w:val="center"/>
          </w:tcPr>
          <w:p>
            <w:pPr>
              <w:keepNext/>
              <w:jc w:val="left"/>
            </w:pPr>
            <w:r>
              <w:rPr>
                <w:rFonts w:ascii="Calibri" w:cs="Calibri" w:eastAsia="Calibri" w:hAnsi="Calibri"/>
                <w:b/>
                <w:bCs/>
                <w:color w:val="FFFFFF"/>
                <w:spacing w:val="20"/>
                <w:sz w:val="16"/>
                <w:szCs w:val="16"/>
              </w:rPr>
              <w:t xml:space="preserve">DISCOVERY INSURE PURPLE PLAN QTE-0000001 (CURRENT POLICY)</w:t>
            </w:r>
          </w:p>
        </w:tc>
        <w:tc>
          <w:tcPr>
            <w:tcBorders>
              <w:bottom w:val="single" w:color="2F3437" w:sz="4"/>
            </w:tcBorders>
            <w:shd w:fill="2F3437" w:color="2F3437" w:val="clear"/>
            <w:tcMar>
              <w:top w:type="dxa" w:w="144"/>
              <w:left w:type="dxa" w:w="144"/>
              <w:bottom w:type="dxa" w:w="104"/>
              <w:right w:type="dxa" w:w="144"/>
            </w:tcMar>
            <w:vAlign w:val="center"/>
          </w:tcPr>
          <w:p>
            <w:pPr>
              <w:keepNext/>
              <w:jc w:val="left"/>
            </w:pPr>
            <w:r>
              <w:rPr>
                <w:rFonts w:ascii="Calibri" w:cs="Calibri" w:eastAsia="Calibri" w:hAnsi="Calibri"/>
                <w:b/>
                <w:bCs/>
                <w:color w:val="FFFFFF"/>
                <w:spacing w:val="20"/>
                <w:sz w:val="16"/>
                <w:szCs w:val="16"/>
              </w:rPr>
              <w:t xml:space="preserve">BRYTE PERSONAL POLICY QTE-0000002</w:t>
            </w:r>
          </w:p>
        </w:tc>
        <w:tc>
          <w:tcPr>
            <w:tcBorders>
              <w:bottom w:val="single" w:color="2F3437" w:sz="4"/>
            </w:tcBorders>
            <w:shd w:fill="2F3437" w:color="2F3437" w:val="clear"/>
            <w:tcMar>
              <w:top w:type="dxa" w:w="144"/>
              <w:left w:type="dxa" w:w="144"/>
              <w:bottom w:type="dxa" w:w="104"/>
              <w:right w:type="dxa" w:w="144"/>
            </w:tcMar>
            <w:vAlign w:val="center"/>
          </w:tcPr>
          <w:p>
            <w:pPr>
              <w:keepNext/>
              <w:jc w:val="left"/>
            </w:pPr>
            <w:r>
              <w:rPr>
                <w:rFonts w:ascii="Calibri" w:cs="Calibri" w:eastAsia="Calibri" w:hAnsi="Calibri"/>
                <w:b/>
                <w:bCs/>
                <w:color w:val="FFFFFF"/>
                <w:spacing w:val="20"/>
                <w:sz w:val="16"/>
                <w:szCs w:val="16"/>
              </w:rPr>
              <w:t xml:space="preserve">MUA EXECUTIVE POLICY QTE-0000003</w:t>
            </w:r>
          </w:p>
        </w:tc>
        <w:tc>
          <w:tcPr>
            <w:tcBorders>
              <w:bottom w:val="single" w:color="2F3437" w:sz="4"/>
            </w:tcBorders>
            <w:shd w:fill="2F3437" w:color="2F3437" w:val="clear"/>
            <w:tcMar>
              <w:top w:type="dxa" w:w="144"/>
              <w:left w:type="dxa" w:w="144"/>
              <w:bottom w:type="dxa" w:w="104"/>
              <w:right w:type="dxa" w:w="144"/>
            </w:tcMar>
            <w:vAlign w:val="center"/>
          </w:tcPr>
          <w:p>
            <w:pPr>
              <w:keepNext/>
              <w:jc w:val="left"/>
            </w:pPr>
            <w:r>
              <w:rPr>
                <w:rFonts w:ascii="Calibri" w:cs="Calibri" w:eastAsia="Calibri" w:hAnsi="Calibri"/>
                <w:b/>
                <w:bCs/>
                <w:color w:val="FFFFFF"/>
                <w:spacing w:val="20"/>
                <w:sz w:val="16"/>
                <w:szCs w:val="16"/>
              </w:rPr>
              <w:t xml:space="preserve">APEX PINNACLE PERSONAL QTE-0000004</w:t>
            </w:r>
          </w:p>
        </w:tc>
      </w:tr>
      <w:tr>
        <w:trPr>
          <w:cantSplit/>
        </w:trPr>
        <w:tc>
          <w:tcPr>
            <w:tcMar>
              <w:top w:type="dxa" w:w="144"/>
              <w:left w:type="dxa" w:w="144"/>
              <w:bottom w:type="dxa" w:w="104"/>
              <w:right w:type="dxa" w:w="144"/>
            </w:tcMar>
          </w:tcPr>
          <w:p>
            <w:pPr>
              <w:spacing w:before="0" w:after="40"/>
              <w:jc w:val="left"/>
            </w:pPr>
            <w:r>
              <w:rPr>
                <w:rFonts w:ascii="Calibri" w:cs="Calibri" w:eastAsia="Calibri" w:hAnsi="Calibri"/>
                <w:b/>
                <w:bCs/>
                <w:i w:val="false"/>
                <w:iCs w:val="false"/>
                <w:color w:val="000000"/>
                <w:sz w:val="20"/>
                <w:szCs w:val="20"/>
              </w:rPr>
              <w:t xml:space="preserve">Annualised Premium</w:t>
            </w:r>
          </w:p>
        </w:tc>
        <w:tc>
          <w:tcPr>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R94,063.68</w:t>
            </w:r>
          </w:p>
        </w:tc>
        <w:tc>
          <w:tcPr>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R78,331.44</w:t>
            </w:r>
          </w:p>
        </w:tc>
        <w:tc>
          <w:tcPr>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R75,762.17</w:t>
            </w:r>
          </w:p>
        </w:tc>
        <w:tc>
          <w:tcPr>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R92,103.96</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bCs/>
                <w:i w:val="false"/>
                <w:iCs w:val="false"/>
                <w:color w:val="000000"/>
                <w:sz w:val="20"/>
                <w:szCs w:val="20"/>
              </w:rPr>
              <w:t xml:space="preserve">Monthly Premium</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R7,838.64 (incl. Sasria R54.86 and Vitality Drive R230.00; no separate fees)</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R6,527.62 (incl. R50.00 administrator fee, R97.00 non-insurer value-added products, Sasria R52.22; broker fee R0.00)</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R6,830.46 (incl. Home Assist R22.00, Roadside Assist R52.00, MUA Concierge R175.00, MUA CareComplete R20.00, SASRIA R44.39)</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R7,675.33 (incl. value-added products R374.40 and VAT R1,001.13; admin fee R0.00, broker fee R0.00)</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bCs/>
                <w:i w:val="false"/>
                <w:iCs w:val="false"/>
                <w:color w:val="000000"/>
                <w:sz w:val="20"/>
                <w:szCs w:val="20"/>
              </w:rPr>
              <w:t xml:space="preserve">Premium Composition</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Sections R7,553.78 plus Vitality Drive R230.00 less no fees; Sasria R54.86 as scheduled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Risk premium R6,328.40 + value-added R97.00 + fees R50.00 + Sasria R52.22</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Section sub-total R6,517.07 + value-added and Sasria R313.39; stated annual premium R75,762.17</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Premium net of VAT R6,674.20 + VAT R1,001.13</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bCs/>
                <w:i w:val="false"/>
                <w:iCs w:val="false"/>
                <w:color w:val="000000"/>
                <w:sz w:val="20"/>
                <w:szCs w:val="20"/>
              </w:rPr>
              <w:t xml:space="preserve">Monthly Saving</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Current policy (being replaced)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R1,311.02 cheaper/month than the current policy (R7,838.64)</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R1,008.18 cheaper/month than the current policy (R7,838.64)</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R163.31 cheaper/month than the current policy (R7,838.64)</w:t>
            </w:r>
          </w:p>
        </w:tc>
      </w:tr>
    </w:tbl>
    <w:p>
      <w:pPr>
        <w:spacing w:before="160" w:after="160"/>
      </w:pPr>
      <w:r>
        <w:t xml:space="preserve"/>
      </w:r>
    </w:p>
    <w:p>
      <w:pPr>
        <w:pStyle w:val="Heading1"/>
        <w:keepNext/>
        <w:keepLines/>
        <w:pBdr>
          <w:bottom w:val="single" w:color="D3DBDD" w:sz="4" w:space="4"/>
        </w:pBdr>
        <w:spacing w:before="360" w:after="160"/>
      </w:pPr>
      <w:r>
        <w:rPr>
          <w:rFonts w:ascii="Calibri" w:cs="Calibri" w:eastAsia="Calibri" w:hAnsi="Calibri"/>
          <w:b/>
          <w:bCs/>
          <w:color w:val="000000"/>
          <w:sz w:val="36"/>
          <w:szCs w:val="36"/>
        </w:rPr>
        <w:t xml:space="preserve">4. </w:t>
      </w:r>
      <w:r>
        <w:rPr>
          <w:rFonts w:ascii="Calibri" w:cs="Calibri" w:eastAsia="Calibri" w:hAnsi="Calibri"/>
          <w:b/>
          <w:bCs/>
          <w:color w:val="000000"/>
          <w:sz w:val="36"/>
          <w:szCs w:val="36"/>
        </w:rPr>
        <w:t xml:space="preserve">Buildings</w:t>
      </w:r>
    </w:p>
    <w:p>
      <w:pPr>
        <w:keepNext/>
        <w:spacing w:before="80" w:after="80"/>
      </w:pPr>
      <w:r>
        <w:rPr>
          <w:rFonts w:ascii="Calibri" w:cs="Calibri" w:eastAsia="Calibri" w:hAnsi="Calibri"/>
          <w:i/>
          <w:iCs/>
          <w:color w:val="000000"/>
          <w:sz w:val="20"/>
          <w:szCs w:val="20"/>
        </w:rPr>
        <w:t xml:space="preserve">1 Example Road, Sandton, 2196</w:t>
      </w:r>
    </w:p>
    <w:tbl>
      <w:tblPr>
        <w:tblW w:type="pct" w:w="5000%"/>
        <w:tblBorders>
          <w:top w:val="single" w:color="D3DBDD" w:sz="4"/>
          <w:left w:val="single" w:color="D3DBDD" w:sz="4"/>
          <w:bottom w:val="single" w:color="D3DBDD" w:sz="4"/>
          <w:right w:val="single" w:color="D3DBDD" w:sz="4"/>
          <w:insideH w:val="single" w:color="D3DBDD" w:sz="4"/>
          <w:insideV w:val="single" w:color="D3DBDD" w:sz="4"/>
        </w:tblBorders>
        <w:tblLayout w:type="fixed"/>
      </w:tblPr>
      <w:tblGrid>
        <w:gridCol w:w="2907"/>
        <w:gridCol w:w="1890"/>
        <w:gridCol w:w="1890"/>
        <w:gridCol w:w="1890"/>
        <w:gridCol w:w="1889"/>
      </w:tblGrid>
      <w:tr>
        <w:trPr>
          <w:cantSplit/>
          <w:tblHeader/>
        </w:trPr>
        <w:tc>
          <w:tcPr>
            <w:tcBorders>
              <w:bottom w:val="single" w:color="2F3437" w:sz="4"/>
            </w:tcBorders>
            <w:shd w:fill="2F3437" w:color="2F3437" w:val="clear"/>
            <w:tcMar>
              <w:top w:type="dxa" w:w="144"/>
              <w:left w:type="dxa" w:w="144"/>
              <w:bottom w:type="dxa" w:w="104"/>
              <w:right w:type="dxa" w:w="144"/>
            </w:tcMar>
            <w:vAlign w:val="center"/>
          </w:tcPr>
          <w:p>
            <w:pPr>
              <w:keepNext/>
              <w:jc w:val="left"/>
            </w:pPr>
            <w:r>
              <w:rPr>
                <w:rFonts w:ascii="Calibri" w:cs="Calibri" w:eastAsia="Calibri" w:hAnsi="Calibri"/>
                <w:b/>
                <w:bCs/>
                <w:color w:val="FFFFFF"/>
                <w:spacing w:val="20"/>
                <w:sz w:val="16"/>
                <w:szCs w:val="16"/>
              </w:rPr>
              <w:t xml:space="preserve">ITEM</w:t>
            </w:r>
          </w:p>
        </w:tc>
        <w:tc>
          <w:tcPr>
            <w:tcBorders>
              <w:bottom w:val="single" w:color="2F3437" w:sz="4"/>
            </w:tcBorders>
            <w:shd w:fill="2F3437" w:color="2F3437" w:val="clear"/>
            <w:tcMar>
              <w:top w:type="dxa" w:w="144"/>
              <w:left w:type="dxa" w:w="144"/>
              <w:bottom w:type="dxa" w:w="104"/>
              <w:right w:type="dxa" w:w="144"/>
            </w:tcMar>
            <w:vAlign w:val="center"/>
          </w:tcPr>
          <w:p>
            <w:pPr>
              <w:keepNext/>
              <w:jc w:val="left"/>
            </w:pPr>
            <w:r>
              <w:rPr>
                <w:rFonts w:ascii="Calibri" w:cs="Calibri" w:eastAsia="Calibri" w:hAnsi="Calibri"/>
                <w:b/>
                <w:bCs/>
                <w:color w:val="FFFFFF"/>
                <w:spacing w:val="20"/>
                <w:sz w:val="16"/>
                <w:szCs w:val="16"/>
              </w:rPr>
              <w:t xml:space="preserve">DISCOVERY INSURE PURPLE PLAN QTE-0000001 (CURRENT POLICY)</w:t>
            </w:r>
          </w:p>
        </w:tc>
        <w:tc>
          <w:tcPr>
            <w:tcBorders>
              <w:bottom w:val="single" w:color="2F3437" w:sz="4"/>
            </w:tcBorders>
            <w:shd w:fill="2F3437" w:color="2F3437" w:val="clear"/>
            <w:tcMar>
              <w:top w:type="dxa" w:w="144"/>
              <w:left w:type="dxa" w:w="144"/>
              <w:bottom w:type="dxa" w:w="104"/>
              <w:right w:type="dxa" w:w="144"/>
            </w:tcMar>
            <w:vAlign w:val="center"/>
          </w:tcPr>
          <w:p>
            <w:pPr>
              <w:keepNext/>
              <w:jc w:val="left"/>
            </w:pPr>
            <w:r>
              <w:rPr>
                <w:rFonts w:ascii="Calibri" w:cs="Calibri" w:eastAsia="Calibri" w:hAnsi="Calibri"/>
                <w:b/>
                <w:bCs/>
                <w:color w:val="FFFFFF"/>
                <w:spacing w:val="20"/>
                <w:sz w:val="16"/>
                <w:szCs w:val="16"/>
              </w:rPr>
              <w:t xml:space="preserve">BRYTE PERSONAL POLICY QTE-0000002</w:t>
            </w:r>
          </w:p>
        </w:tc>
        <w:tc>
          <w:tcPr>
            <w:tcBorders>
              <w:bottom w:val="single" w:color="2F3437" w:sz="4"/>
            </w:tcBorders>
            <w:shd w:fill="2F3437" w:color="2F3437" w:val="clear"/>
            <w:tcMar>
              <w:top w:type="dxa" w:w="144"/>
              <w:left w:type="dxa" w:w="144"/>
              <w:bottom w:type="dxa" w:w="104"/>
              <w:right w:type="dxa" w:w="144"/>
            </w:tcMar>
            <w:vAlign w:val="center"/>
          </w:tcPr>
          <w:p>
            <w:pPr>
              <w:keepNext/>
              <w:jc w:val="left"/>
            </w:pPr>
            <w:r>
              <w:rPr>
                <w:rFonts w:ascii="Calibri" w:cs="Calibri" w:eastAsia="Calibri" w:hAnsi="Calibri"/>
                <w:b/>
                <w:bCs/>
                <w:color w:val="FFFFFF"/>
                <w:spacing w:val="20"/>
                <w:sz w:val="16"/>
                <w:szCs w:val="16"/>
              </w:rPr>
              <w:t xml:space="preserve">MUA EXECUTIVE POLICY QTE-0000003</w:t>
            </w:r>
          </w:p>
        </w:tc>
        <w:tc>
          <w:tcPr>
            <w:tcBorders>
              <w:bottom w:val="single" w:color="2F3437" w:sz="4"/>
            </w:tcBorders>
            <w:shd w:fill="2F3437" w:color="2F3437" w:val="clear"/>
            <w:tcMar>
              <w:top w:type="dxa" w:w="144"/>
              <w:left w:type="dxa" w:w="144"/>
              <w:bottom w:type="dxa" w:w="104"/>
              <w:right w:type="dxa" w:w="144"/>
            </w:tcMar>
            <w:vAlign w:val="center"/>
          </w:tcPr>
          <w:p>
            <w:pPr>
              <w:keepNext/>
              <w:jc w:val="left"/>
            </w:pPr>
            <w:r>
              <w:rPr>
                <w:rFonts w:ascii="Calibri" w:cs="Calibri" w:eastAsia="Calibri" w:hAnsi="Calibri"/>
                <w:b/>
                <w:bCs/>
                <w:color w:val="FFFFFF"/>
                <w:spacing w:val="20"/>
                <w:sz w:val="16"/>
                <w:szCs w:val="16"/>
              </w:rPr>
              <w:t xml:space="preserve">APEX PINNACLE PERSONAL QTE-0000004</w:t>
            </w:r>
          </w:p>
        </w:tc>
      </w:tr>
      <w:tr>
        <w:trPr>
          <w:cantSplit/>
        </w:trPr>
        <w:tc>
          <w:tcPr>
            <w:tcMar>
              <w:top w:type="dxa" w:w="144"/>
              <w:left w:type="dxa" w:w="144"/>
              <w:bottom w:type="dxa" w:w="104"/>
              <w:right w:type="dxa" w:w="144"/>
            </w:tcMar>
          </w:tcPr>
          <w:p>
            <w:pPr>
              <w:spacing w:before="0" w:after="40"/>
              <w:jc w:val="left"/>
            </w:pPr>
            <w:r>
              <w:rPr>
                <w:rFonts w:ascii="Calibri" w:cs="Calibri" w:eastAsia="Calibri" w:hAnsi="Calibri"/>
                <w:b/>
                <w:bCs/>
                <w:i w:val="false"/>
                <w:iCs w:val="false"/>
                <w:color w:val="000000"/>
                <w:sz w:val="20"/>
                <w:szCs w:val="20"/>
              </w:rPr>
              <w:t xml:space="preserve">Sum Insured</w:t>
            </w:r>
          </w:p>
        </w:tc>
        <w:tc>
          <w:tcPr>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R9,801,960.56</w:t>
            </w:r>
          </w:p>
        </w:tc>
        <w:tc>
          <w:tcPr>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R9,801,960</w:t>
            </w:r>
          </w:p>
        </w:tc>
        <w:tc>
          <w:tcPr>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R9,801,960.56</w:t>
            </w:r>
          </w:p>
        </w:tc>
        <w:tc>
          <w:tcPr>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R9,801,961</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bCs/>
                <w:i w:val="false"/>
                <w:iCs w:val="false"/>
                <w:color w:val="000000"/>
                <w:sz w:val="20"/>
                <w:szCs w:val="20"/>
              </w:rPr>
              <w:t xml:space="preserve">Premium</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R1,624.84</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R1,431.03 (incl. extensions R107.94, R10.80, R48.58)</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R1,650.25</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R1,624.68</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bCs/>
                <w:i w:val="false"/>
                <w:iCs w:val="false"/>
                <w:color w:val="000000"/>
                <w:sz w:val="20"/>
                <w:szCs w:val="20"/>
              </w:rPr>
              <w:t xml:space="preserve">Security Details</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Burglar bars/security gates on all external doors</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bCs/>
                <w:i w:val="false"/>
                <w:iCs w:val="false"/>
                <w:color w:val="000000"/>
                <w:sz w:val="20"/>
                <w:szCs w:val="20"/>
              </w:rPr>
              <w:t xml:space="preserve">Basic Excess / First Amount Payable</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R1,000.00</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R1,000 (fire R10,000 or per policy if higher; flood 10% min R2,000 max R20,000)</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R2,000.00</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R750 (lightning R1,000 with surge arrestor)</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  - Conditions</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Mortgagee (home-loan bank) noted; sum insured may increase automatically at anniversary</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Interest noted (mortgagee) blank</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Valuation to be conducted: Yes</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Geysers must comply with SANS 10254; right to request valuation</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  - Policy Terms</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Voluntary R0.00</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Voluntary excess per endorsement section</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bCs/>
                <w:i w:val="false"/>
                <w:iCs w:val="false"/>
                <w:color w:val="000000"/>
                <w:sz w:val="20"/>
                <w:szCs w:val="20"/>
              </w:rPr>
              <w:t xml:space="preserve">Accidental Damage</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Included up to sum insured, R0.00 additional premium</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Elected: R100,000, R107.94 per month</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 not elected</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  - Conditions</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Excess 10% of claim min R500</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Excess R1,000 if added</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bCs/>
                <w:i w:val="false"/>
                <w:iCs w:val="false"/>
                <w:color w:val="000000"/>
                <w:sz w:val="20"/>
                <w:szCs w:val="20"/>
              </w:rPr>
              <w:t xml:space="preserve">Power Surge</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Included up to sum insured, R0.00 additional premium</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Elected: R50,000, R48.58 per month</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 not elected</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  - Conditions</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Excess 10% of claim min R1,000</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bCs/>
                <w:i w:val="false"/>
                <w:iCs w:val="false"/>
                <w:color w:val="000000"/>
                <w:sz w:val="20"/>
                <w:szCs w:val="20"/>
              </w:rPr>
              <w:t xml:space="preserve">Subsidence and Landslip</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Limited cover included up to sum insured; extended not selected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Partial cover Yes; full cover No</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 not selected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Limited cover Yes; extended No</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  - Conditions</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Excess 1% of sum insured min R5,000 (limited)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Excess 1% of claim min R2,500</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bCs/>
                <w:i w:val="false"/>
                <w:iCs w:val="false"/>
                <w:color w:val="000000"/>
                <w:sz w:val="20"/>
                <w:szCs w:val="20"/>
              </w:rPr>
              <w:t xml:space="preserve">Breakdown of Fixed Machinery</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Elected: R10,000, R10.80 per month</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 not elected</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  - Conditions</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Excess 10% of claim min R500</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bCs/>
                <w:i w:val="false"/>
                <w:iCs w:val="false"/>
                <w:color w:val="000000"/>
                <w:sz w:val="20"/>
                <w:szCs w:val="20"/>
              </w:rPr>
              <w:t xml:space="preserve">Geyser / Water Heating</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Wear and tear for pipes and water heating up to R50,000 listed at R0.00; HomeAssist R0.00</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Geyser/solar excess R1,000; geyser maintenance helpline benefit</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Geyser Maintenance elected R53.00 per month</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Replacement if not insurer-authorised: electric 50-150 litre R12,500, 200 litre R15,000, 250 litre R22,000 [verify — figure not found in any source document]</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  - Conditions</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Optional wear-and-tear shown as Not selected: confirm</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IOPSA-accredited plumbers; geyser excess not stated</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bCs/>
                <w:i w:val="false"/>
                <w:iCs w:val="false"/>
                <w:color w:val="000000"/>
                <w:sz w:val="20"/>
                <w:szCs w:val="20"/>
              </w:rPr>
              <w:t xml:space="preserve">Additional Extensions and Benefits</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Security guards R10,000; gardens R10,000; fire extinguishing R50,000; claims preparation R10,000; temporary repairs R20,000; loss of rent 25% of sum insured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Average Waiver Benefit elected R67.00 per month; extension limits not stated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Security guards R15,000; gardens R30,000; fire extinguishing R20,000; claims preparation R25,000</w:t>
            </w:r>
          </w:p>
        </w:tc>
      </w:tr>
    </w:tbl>
    <w:p>
      <w:pPr>
        <w:spacing w:before="160" w:after="160"/>
      </w:pPr>
      <w:r>
        <w:t xml:space="preserve"/>
      </w:r>
    </w:p>
    <w:p>
      <w:pPr>
        <w:pStyle w:val="Heading1"/>
        <w:keepNext/>
        <w:keepLines/>
        <w:pBdr>
          <w:bottom w:val="single" w:color="D3DBDD" w:sz="4" w:space="4"/>
        </w:pBdr>
        <w:spacing w:before="360" w:after="160"/>
      </w:pPr>
      <w:r>
        <w:rPr>
          <w:rFonts w:ascii="Calibri" w:cs="Calibri" w:eastAsia="Calibri" w:hAnsi="Calibri"/>
          <w:b/>
          <w:bCs/>
          <w:color w:val="000000"/>
          <w:sz w:val="36"/>
          <w:szCs w:val="36"/>
        </w:rPr>
        <w:t xml:space="preserve">5. </w:t>
      </w:r>
      <w:r>
        <w:rPr>
          <w:rFonts w:ascii="Calibri" w:cs="Calibri" w:eastAsia="Calibri" w:hAnsi="Calibri"/>
          <w:b/>
          <w:bCs/>
          <w:color w:val="000000"/>
          <w:sz w:val="36"/>
          <w:szCs w:val="36"/>
        </w:rPr>
        <w:t xml:space="preserve">Household contents</w:t>
      </w:r>
    </w:p>
    <w:p>
      <w:pPr>
        <w:keepNext/>
        <w:spacing w:before="80" w:after="80"/>
      </w:pPr>
      <w:r>
        <w:rPr>
          <w:rFonts w:ascii="Calibri" w:cs="Calibri" w:eastAsia="Calibri" w:hAnsi="Calibri"/>
          <w:i/>
          <w:iCs/>
          <w:color w:val="000000"/>
          <w:sz w:val="20"/>
          <w:szCs w:val="20"/>
        </w:rPr>
        <w:t xml:space="preserve">1 Example Road, Sandton, 2196</w:t>
      </w:r>
    </w:p>
    <w:tbl>
      <w:tblPr>
        <w:tblW w:type="pct" w:w="5000%"/>
        <w:tblBorders>
          <w:top w:val="single" w:color="D3DBDD" w:sz="4"/>
          <w:left w:val="single" w:color="D3DBDD" w:sz="4"/>
          <w:bottom w:val="single" w:color="D3DBDD" w:sz="4"/>
          <w:right w:val="single" w:color="D3DBDD" w:sz="4"/>
          <w:insideH w:val="single" w:color="D3DBDD" w:sz="4"/>
          <w:insideV w:val="single" w:color="D3DBDD" w:sz="4"/>
        </w:tblBorders>
        <w:tblLayout w:type="fixed"/>
      </w:tblPr>
      <w:tblGrid>
        <w:gridCol w:w="2907"/>
        <w:gridCol w:w="1890"/>
        <w:gridCol w:w="1890"/>
        <w:gridCol w:w="1890"/>
        <w:gridCol w:w="1889"/>
      </w:tblGrid>
      <w:tr>
        <w:trPr>
          <w:cantSplit/>
          <w:tblHeader/>
        </w:trPr>
        <w:tc>
          <w:tcPr>
            <w:tcBorders>
              <w:bottom w:val="single" w:color="2F3437" w:sz="4"/>
            </w:tcBorders>
            <w:shd w:fill="2F3437" w:color="2F3437" w:val="clear"/>
            <w:tcMar>
              <w:top w:type="dxa" w:w="144"/>
              <w:left w:type="dxa" w:w="144"/>
              <w:bottom w:type="dxa" w:w="104"/>
              <w:right w:type="dxa" w:w="144"/>
            </w:tcMar>
            <w:vAlign w:val="center"/>
          </w:tcPr>
          <w:p>
            <w:pPr>
              <w:keepNext/>
              <w:jc w:val="left"/>
            </w:pPr>
            <w:r>
              <w:rPr>
                <w:rFonts w:ascii="Calibri" w:cs="Calibri" w:eastAsia="Calibri" w:hAnsi="Calibri"/>
                <w:b/>
                <w:bCs/>
                <w:color w:val="FFFFFF"/>
                <w:spacing w:val="20"/>
                <w:sz w:val="16"/>
                <w:szCs w:val="16"/>
              </w:rPr>
              <w:t xml:space="preserve">ITEM</w:t>
            </w:r>
          </w:p>
        </w:tc>
        <w:tc>
          <w:tcPr>
            <w:tcBorders>
              <w:bottom w:val="single" w:color="2F3437" w:sz="4"/>
            </w:tcBorders>
            <w:shd w:fill="2F3437" w:color="2F3437" w:val="clear"/>
            <w:tcMar>
              <w:top w:type="dxa" w:w="144"/>
              <w:left w:type="dxa" w:w="144"/>
              <w:bottom w:type="dxa" w:w="104"/>
              <w:right w:type="dxa" w:w="144"/>
            </w:tcMar>
            <w:vAlign w:val="center"/>
          </w:tcPr>
          <w:p>
            <w:pPr>
              <w:keepNext/>
              <w:jc w:val="left"/>
            </w:pPr>
            <w:r>
              <w:rPr>
                <w:rFonts w:ascii="Calibri" w:cs="Calibri" w:eastAsia="Calibri" w:hAnsi="Calibri"/>
                <w:b/>
                <w:bCs/>
                <w:color w:val="FFFFFF"/>
                <w:spacing w:val="20"/>
                <w:sz w:val="16"/>
                <w:szCs w:val="16"/>
              </w:rPr>
              <w:t xml:space="preserve">DISCOVERY INSURE PURPLE PLAN QTE-0000001 (CURRENT POLICY)</w:t>
            </w:r>
          </w:p>
        </w:tc>
        <w:tc>
          <w:tcPr>
            <w:tcBorders>
              <w:bottom w:val="single" w:color="2F3437" w:sz="4"/>
            </w:tcBorders>
            <w:shd w:fill="2F3437" w:color="2F3437" w:val="clear"/>
            <w:tcMar>
              <w:top w:type="dxa" w:w="144"/>
              <w:left w:type="dxa" w:w="144"/>
              <w:bottom w:type="dxa" w:w="104"/>
              <w:right w:type="dxa" w:w="144"/>
            </w:tcMar>
            <w:vAlign w:val="center"/>
          </w:tcPr>
          <w:p>
            <w:pPr>
              <w:keepNext/>
              <w:jc w:val="left"/>
            </w:pPr>
            <w:r>
              <w:rPr>
                <w:rFonts w:ascii="Calibri" w:cs="Calibri" w:eastAsia="Calibri" w:hAnsi="Calibri"/>
                <w:b/>
                <w:bCs/>
                <w:color w:val="FFFFFF"/>
                <w:spacing w:val="20"/>
                <w:sz w:val="16"/>
                <w:szCs w:val="16"/>
              </w:rPr>
              <w:t xml:space="preserve">BRYTE PERSONAL POLICY QTE-0000002</w:t>
            </w:r>
          </w:p>
        </w:tc>
        <w:tc>
          <w:tcPr>
            <w:tcBorders>
              <w:bottom w:val="single" w:color="2F3437" w:sz="4"/>
            </w:tcBorders>
            <w:shd w:fill="2F3437" w:color="2F3437" w:val="clear"/>
            <w:tcMar>
              <w:top w:type="dxa" w:w="144"/>
              <w:left w:type="dxa" w:w="144"/>
              <w:bottom w:type="dxa" w:w="104"/>
              <w:right w:type="dxa" w:w="144"/>
            </w:tcMar>
            <w:vAlign w:val="center"/>
          </w:tcPr>
          <w:p>
            <w:pPr>
              <w:keepNext/>
              <w:jc w:val="left"/>
            </w:pPr>
            <w:r>
              <w:rPr>
                <w:rFonts w:ascii="Calibri" w:cs="Calibri" w:eastAsia="Calibri" w:hAnsi="Calibri"/>
                <w:b/>
                <w:bCs/>
                <w:color w:val="FFFFFF"/>
                <w:spacing w:val="20"/>
                <w:sz w:val="16"/>
                <w:szCs w:val="16"/>
              </w:rPr>
              <w:t xml:space="preserve">MUA EXECUTIVE POLICY QTE-0000003</w:t>
            </w:r>
          </w:p>
        </w:tc>
        <w:tc>
          <w:tcPr>
            <w:tcBorders>
              <w:bottom w:val="single" w:color="2F3437" w:sz="4"/>
            </w:tcBorders>
            <w:shd w:fill="2F3437" w:color="2F3437" w:val="clear"/>
            <w:tcMar>
              <w:top w:type="dxa" w:w="144"/>
              <w:left w:type="dxa" w:w="144"/>
              <w:bottom w:type="dxa" w:w="104"/>
              <w:right w:type="dxa" w:w="144"/>
            </w:tcMar>
            <w:vAlign w:val="center"/>
          </w:tcPr>
          <w:p>
            <w:pPr>
              <w:keepNext/>
              <w:jc w:val="left"/>
            </w:pPr>
            <w:r>
              <w:rPr>
                <w:rFonts w:ascii="Calibri" w:cs="Calibri" w:eastAsia="Calibri" w:hAnsi="Calibri"/>
                <w:b/>
                <w:bCs/>
                <w:color w:val="FFFFFF"/>
                <w:spacing w:val="20"/>
                <w:sz w:val="16"/>
                <w:szCs w:val="16"/>
              </w:rPr>
              <w:t xml:space="preserve">APEX PINNACLE PERSONAL QTE-0000004</w:t>
            </w:r>
          </w:p>
        </w:tc>
      </w:tr>
      <w:tr>
        <w:trPr>
          <w:cantSplit/>
        </w:trPr>
        <w:tc>
          <w:tcPr>
            <w:tcMar>
              <w:top w:type="dxa" w:w="144"/>
              <w:left w:type="dxa" w:w="144"/>
              <w:bottom w:type="dxa" w:w="104"/>
              <w:right w:type="dxa" w:w="144"/>
            </w:tcMar>
          </w:tcPr>
          <w:p>
            <w:pPr>
              <w:spacing w:before="0" w:after="40"/>
              <w:jc w:val="left"/>
            </w:pPr>
            <w:r>
              <w:rPr>
                <w:rFonts w:ascii="Calibri" w:cs="Calibri" w:eastAsia="Calibri" w:hAnsi="Calibri"/>
                <w:b/>
                <w:bCs/>
                <w:i w:val="false"/>
                <w:iCs w:val="false"/>
                <w:color w:val="000000"/>
                <w:sz w:val="20"/>
                <w:szCs w:val="20"/>
              </w:rPr>
              <w:t xml:space="preserve">Sum Insured</w:t>
            </w:r>
          </w:p>
        </w:tc>
        <w:tc>
          <w:tcPr>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R2,947,241.03</w:t>
            </w:r>
          </w:p>
        </w:tc>
        <w:tc>
          <w:tcPr>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R2,947,241</w:t>
            </w:r>
          </w:p>
        </w:tc>
        <w:tc>
          <w:tcPr>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R2,947,241.03</w:t>
            </w:r>
          </w:p>
        </w:tc>
        <w:tc>
          <w:tcPr>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R2,947,241</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bCs/>
                <w:i w:val="false"/>
                <w:iCs w:val="false"/>
                <w:color w:val="000000"/>
                <w:sz w:val="20"/>
                <w:szCs w:val="20"/>
              </w:rPr>
              <w:t xml:space="preserve">Premium</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R1,563.89</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R1,726.04 (incl. extensions R4.86, R20.57, R9.72)</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R928.86 (incl. Average Waiver R67.00)</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R1,564.00</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bCs/>
                <w:i w:val="false"/>
                <w:iCs w:val="false"/>
                <w:color w:val="000000"/>
                <w:sz w:val="20"/>
                <w:szCs w:val="20"/>
              </w:rPr>
              <w:t xml:space="preserve">Security Details</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Burglar bars No; electric fence Yes; radio-linked alarm Yes; access control No; warranty requires 24-hour armed-response contract</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Burglar bars and security gates Yes; alarm with armed response No; armed response required at R750,000 or more</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 burglar bars; alarm with armed response required before cover</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Burglar bars No; security gates No; electric fence Yes; linked alarm Yes; armed response not stated</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bCs/>
                <w:i w:val="false"/>
                <w:iCs w:val="false"/>
                <w:color w:val="000000"/>
                <w:sz w:val="20"/>
                <w:szCs w:val="20"/>
              </w:rPr>
              <w:t xml:space="preserve">Basic Excess / First Amount Payable</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R1,750.00</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R750 (fire R10,000 or per policy if higher; flood 10% min R1,000 max R10,000)</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R2,000.00</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R750 (lightning R1,000 with arrestor; subsidence 1% min R2,500)</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  - Conditions</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Additional excess 10% of claim min R10,000 if armed-response alarm requirement not complied with</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  - Policy Terms</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Voluntary R0.00</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bCs/>
                <w:i w:val="false"/>
                <w:iCs w:val="false"/>
                <w:color w:val="000000"/>
                <w:sz w:val="20"/>
                <w:szCs w:val="20"/>
              </w:rPr>
              <w:t xml:space="preserve">Theft</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Covered, subject to minimum security and alarm warranty</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Theft not excluded; theft from outbuildings R10,000</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Covered only if alarm linked to 24-hour armed-response control centre and set</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Theft not excluded; theft from outbuildings R5,000</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  - Conditions</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 theft cover without burglar bars or alarm linked to 24-hour reaction unit; forcible entry only where open ground and no boundary</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Burglar bars and security gates in place; armed response condition at R750,000 or more</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Alarm required before cover</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Burglar bars and security gates required where specified; jewellery in safe</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bCs/>
                <w:i w:val="false"/>
                <w:iCs w:val="false"/>
                <w:color w:val="000000"/>
                <w:sz w:val="20"/>
                <w:szCs w:val="20"/>
              </w:rPr>
              <w:t xml:space="preserve">Accidental Damage, Breakdown and Power Surge</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Included up to sum insured; TVs and glass at item sum insured; optional extension not selected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Accidental damage R10,000; electrical and mechanical breakdown R5,000; additional power surge R10,000</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 accidental damage, breakdown and power surge not elected</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  - Conditions</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Excesses 10% of claim min R500 / R1,000</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bCs/>
                <w:i w:val="false"/>
                <w:iCs w:val="false"/>
                <w:color w:val="000000"/>
                <w:sz w:val="20"/>
                <w:szCs w:val="20"/>
              </w:rPr>
              <w:t xml:space="preserve">Domestic Employees' and Guests' Property</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Domestic employees R10,000; guests 5% of sum insured max R20,000</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Domestic staff R15,000; guests R30,000</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bCs/>
                <w:i w:val="false"/>
                <w:iCs w:val="false"/>
                <w:color w:val="000000"/>
                <w:sz w:val="20"/>
                <w:szCs w:val="20"/>
              </w:rPr>
              <w:t xml:space="preserve">Money, Documents and Keys</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Money R5,000; documents 5% max R20,000; locks and keys reasonable</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Money (forcible entry) R10,000; documents R15,000; keys and locks R20,000</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bCs/>
                <w:i w:val="false"/>
                <w:iCs w:val="false"/>
                <w:color w:val="000000"/>
                <w:sz w:val="20"/>
                <w:szCs w:val="20"/>
              </w:rPr>
              <w:t xml:space="preserve">Refrigerator Contents and Water Leakage</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Deterioration of food R10,000; water lost R10,000; tracing leak R5,000</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Refrigerator and deep freeze contents R30,000; loss of water R20,000</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bCs/>
                <w:i w:val="false"/>
                <w:iCs w:val="false"/>
                <w:color w:val="000000"/>
                <w:sz w:val="20"/>
                <w:szCs w:val="20"/>
              </w:rPr>
              <w:t xml:space="preserve">Contents in the Open, in Transit or Away from Home</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Optional goods in the open: Not selected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Temporarily away from home up to sum insured; in the open and in transit each 5% max R20,000</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On-the-go personal property No; household goods in transit R75,000</w:t>
            </w:r>
          </w:p>
        </w:tc>
      </w:tr>
    </w:tbl>
    <w:p>
      <w:pPr>
        <w:spacing w:before="160" w:after="160"/>
      </w:pPr>
      <w:r>
        <w:t xml:space="preserve"/>
      </w:r>
    </w:p>
    <w:p>
      <w:pPr>
        <w:pStyle w:val="Heading1"/>
        <w:keepNext/>
        <w:keepLines/>
        <w:pBdr>
          <w:bottom w:val="single" w:color="D3DBDD" w:sz="4" w:space="4"/>
        </w:pBdr>
        <w:spacing w:before="360" w:after="160"/>
      </w:pPr>
      <w:r>
        <w:rPr>
          <w:rFonts w:ascii="Calibri" w:cs="Calibri" w:eastAsia="Calibri" w:hAnsi="Calibri"/>
          <w:b/>
          <w:bCs/>
          <w:color w:val="000000"/>
          <w:sz w:val="36"/>
          <w:szCs w:val="36"/>
        </w:rPr>
        <w:t xml:space="preserve">6. </w:t>
      </w:r>
      <w:r>
        <w:rPr>
          <w:rFonts w:ascii="Calibri" w:cs="Calibri" w:eastAsia="Calibri" w:hAnsi="Calibri"/>
          <w:b/>
          <w:bCs/>
          <w:color w:val="000000"/>
          <w:sz w:val="36"/>
          <w:szCs w:val="36"/>
        </w:rPr>
        <w:t xml:space="preserve">All risks / portable possessions</w:t>
      </w:r>
    </w:p>
    <w:tbl>
      <w:tblPr>
        <w:tblW w:type="pct" w:w="5000%"/>
        <w:tblBorders>
          <w:top w:val="single" w:color="D3DBDD" w:sz="4"/>
          <w:left w:val="single" w:color="D3DBDD" w:sz="4"/>
          <w:bottom w:val="single" w:color="D3DBDD" w:sz="4"/>
          <w:right w:val="single" w:color="D3DBDD" w:sz="4"/>
          <w:insideH w:val="single" w:color="D3DBDD" w:sz="4"/>
          <w:insideV w:val="single" w:color="D3DBDD" w:sz="4"/>
        </w:tblBorders>
        <w:tblLayout w:type="fixed"/>
      </w:tblPr>
      <w:tblGrid>
        <w:gridCol w:w="2907"/>
        <w:gridCol w:w="1890"/>
        <w:gridCol w:w="1890"/>
        <w:gridCol w:w="1890"/>
        <w:gridCol w:w="1889"/>
      </w:tblGrid>
      <w:tr>
        <w:trPr>
          <w:cantSplit/>
          <w:tblHeader/>
        </w:trPr>
        <w:tc>
          <w:tcPr>
            <w:tcBorders>
              <w:bottom w:val="single" w:color="2F3437" w:sz="4"/>
            </w:tcBorders>
            <w:shd w:fill="2F3437" w:color="2F3437" w:val="clear"/>
            <w:tcMar>
              <w:top w:type="dxa" w:w="144"/>
              <w:left w:type="dxa" w:w="144"/>
              <w:bottom w:type="dxa" w:w="104"/>
              <w:right w:type="dxa" w:w="144"/>
            </w:tcMar>
            <w:vAlign w:val="center"/>
          </w:tcPr>
          <w:p>
            <w:pPr>
              <w:keepNext/>
              <w:jc w:val="left"/>
            </w:pPr>
            <w:r>
              <w:rPr>
                <w:rFonts w:ascii="Calibri" w:cs="Calibri" w:eastAsia="Calibri" w:hAnsi="Calibri"/>
                <w:b/>
                <w:bCs/>
                <w:color w:val="FFFFFF"/>
                <w:spacing w:val="20"/>
                <w:sz w:val="16"/>
                <w:szCs w:val="16"/>
              </w:rPr>
              <w:t xml:space="preserve">ITEM</w:t>
            </w:r>
          </w:p>
        </w:tc>
        <w:tc>
          <w:tcPr>
            <w:tcBorders>
              <w:bottom w:val="single" w:color="2F3437" w:sz="4"/>
            </w:tcBorders>
            <w:shd w:fill="2F3437" w:color="2F3437" w:val="clear"/>
            <w:tcMar>
              <w:top w:type="dxa" w:w="144"/>
              <w:left w:type="dxa" w:w="144"/>
              <w:bottom w:type="dxa" w:w="104"/>
              <w:right w:type="dxa" w:w="144"/>
            </w:tcMar>
            <w:vAlign w:val="center"/>
          </w:tcPr>
          <w:p>
            <w:pPr>
              <w:keepNext/>
              <w:jc w:val="left"/>
            </w:pPr>
            <w:r>
              <w:rPr>
                <w:rFonts w:ascii="Calibri" w:cs="Calibri" w:eastAsia="Calibri" w:hAnsi="Calibri"/>
                <w:b/>
                <w:bCs/>
                <w:color w:val="FFFFFF"/>
                <w:spacing w:val="20"/>
                <w:sz w:val="16"/>
                <w:szCs w:val="16"/>
              </w:rPr>
              <w:t xml:space="preserve">DISCOVERY INSURE PURPLE PLAN QTE-0000001 (CURRENT POLICY)</w:t>
            </w:r>
          </w:p>
        </w:tc>
        <w:tc>
          <w:tcPr>
            <w:tcBorders>
              <w:bottom w:val="single" w:color="2F3437" w:sz="4"/>
            </w:tcBorders>
            <w:shd w:fill="2F3437" w:color="2F3437" w:val="clear"/>
            <w:tcMar>
              <w:top w:type="dxa" w:w="144"/>
              <w:left w:type="dxa" w:w="144"/>
              <w:bottom w:type="dxa" w:w="104"/>
              <w:right w:type="dxa" w:w="144"/>
            </w:tcMar>
            <w:vAlign w:val="center"/>
          </w:tcPr>
          <w:p>
            <w:pPr>
              <w:keepNext/>
              <w:jc w:val="left"/>
            </w:pPr>
            <w:r>
              <w:rPr>
                <w:rFonts w:ascii="Calibri" w:cs="Calibri" w:eastAsia="Calibri" w:hAnsi="Calibri"/>
                <w:b/>
                <w:bCs/>
                <w:color w:val="FFFFFF"/>
                <w:spacing w:val="20"/>
                <w:sz w:val="16"/>
                <w:szCs w:val="16"/>
              </w:rPr>
              <w:t xml:space="preserve">BRYTE PERSONAL POLICY QTE-0000002</w:t>
            </w:r>
          </w:p>
        </w:tc>
        <w:tc>
          <w:tcPr>
            <w:tcBorders>
              <w:bottom w:val="single" w:color="2F3437" w:sz="4"/>
            </w:tcBorders>
            <w:shd w:fill="2F3437" w:color="2F3437" w:val="clear"/>
            <w:tcMar>
              <w:top w:type="dxa" w:w="144"/>
              <w:left w:type="dxa" w:w="144"/>
              <w:bottom w:type="dxa" w:w="104"/>
              <w:right w:type="dxa" w:w="144"/>
            </w:tcMar>
            <w:vAlign w:val="center"/>
          </w:tcPr>
          <w:p>
            <w:pPr>
              <w:keepNext/>
              <w:jc w:val="left"/>
            </w:pPr>
            <w:r>
              <w:rPr>
                <w:rFonts w:ascii="Calibri" w:cs="Calibri" w:eastAsia="Calibri" w:hAnsi="Calibri"/>
                <w:b/>
                <w:bCs/>
                <w:color w:val="FFFFFF"/>
                <w:spacing w:val="20"/>
                <w:sz w:val="16"/>
                <w:szCs w:val="16"/>
              </w:rPr>
              <w:t xml:space="preserve">MUA EXECUTIVE POLICY QTE-0000003</w:t>
            </w:r>
          </w:p>
        </w:tc>
        <w:tc>
          <w:tcPr>
            <w:tcBorders>
              <w:bottom w:val="single" w:color="2F3437" w:sz="4"/>
            </w:tcBorders>
            <w:shd w:fill="2F3437" w:color="2F3437" w:val="clear"/>
            <w:tcMar>
              <w:top w:type="dxa" w:w="144"/>
              <w:left w:type="dxa" w:w="144"/>
              <w:bottom w:type="dxa" w:w="104"/>
              <w:right w:type="dxa" w:w="144"/>
            </w:tcMar>
            <w:vAlign w:val="center"/>
          </w:tcPr>
          <w:p>
            <w:pPr>
              <w:keepNext/>
              <w:jc w:val="left"/>
            </w:pPr>
            <w:r>
              <w:rPr>
                <w:rFonts w:ascii="Calibri" w:cs="Calibri" w:eastAsia="Calibri" w:hAnsi="Calibri"/>
                <w:b/>
                <w:bCs/>
                <w:color w:val="FFFFFF"/>
                <w:spacing w:val="20"/>
                <w:sz w:val="16"/>
                <w:szCs w:val="16"/>
              </w:rPr>
              <w:t xml:space="preserve">APEX PINNACLE PERSONAL QTE-0000004</w:t>
            </w:r>
          </w:p>
        </w:tc>
      </w:tr>
      <w:tr>
        <w:trPr>
          <w:cantSplit/>
        </w:trPr>
        <w:tc>
          <w:tcPr>
            <w:tcMar>
              <w:top w:type="dxa" w:w="144"/>
              <w:left w:type="dxa" w:w="144"/>
              <w:bottom w:type="dxa" w:w="104"/>
              <w:right w:type="dxa" w:w="144"/>
            </w:tcMar>
          </w:tcPr>
          <w:p>
            <w:pPr>
              <w:spacing w:before="0" w:after="40"/>
              <w:jc w:val="left"/>
            </w:pPr>
            <w:r>
              <w:rPr>
                <w:rFonts w:ascii="Calibri" w:cs="Calibri" w:eastAsia="Calibri" w:hAnsi="Calibri"/>
                <w:b/>
                <w:bCs/>
                <w:i w:val="false"/>
                <w:iCs w:val="false"/>
                <w:color w:val="000000"/>
                <w:sz w:val="20"/>
                <w:szCs w:val="20"/>
              </w:rPr>
              <w:t xml:space="preserve">Sum Insured</w:t>
            </w:r>
          </w:p>
        </w:tc>
        <w:tc>
          <w:tcPr>
            <w:tcMar>
              <w:top w:type="dxa" w:w="144"/>
              <w:left w:type="dxa" w:w="144"/>
              <w:bottom w:type="dxa" w:w="104"/>
              <w:right w:type="dxa" w:w="144"/>
            </w:tcMar>
          </w:tcPr>
          <w:p>
            <w:pPr>
              <w:spacing w:before="0" w:after="20"/>
              <w:jc w:val="left"/>
            </w:pPr>
            <w:r>
              <w:rPr>
                <w:rFonts w:ascii="Calibri" w:cs="Calibri" w:eastAsia="Calibri" w:hAnsi="Calibri"/>
                <w:b w:val="false"/>
                <w:bCs w:val="false"/>
                <w:i w:val="false"/>
                <w:iCs w:val="false"/>
                <w:color w:val="000000"/>
                <w:sz w:val="20"/>
                <w:szCs w:val="20"/>
              </w:rPr>
              <w:t xml:space="preserve">R219,307.64 total:</w:t>
            </w:r>
          </w:p>
          <w:p>
            <w:pPr>
              <w:pStyle w:val="ListParagraph"/>
              <w:numPr>
                <w:ilvl w:val="0"/>
                <w:numId w:val="1"/>
              </w:numPr>
              <w:spacing w:before="0" w:after="20"/>
              <w:jc w:val="left"/>
            </w:pPr>
            <w:r>
              <w:rPr>
                <w:rFonts w:ascii="Calibri" w:cs="Calibri" w:eastAsia="Calibri" w:hAnsi="Calibri"/>
                <w:b w:val="false"/>
                <w:bCs w:val="false"/>
                <w:i w:val="false"/>
                <w:iCs w:val="false"/>
                <w:color w:val="000000"/>
                <w:sz w:val="20"/>
                <w:szCs w:val="20"/>
              </w:rPr>
              <w:t xml:space="preserve">general and clothing R125,107.64</w:t>
            </w:r>
          </w:p>
          <w:p>
            <w:pPr>
              <w:pStyle w:val="ListParagraph"/>
              <w:numPr>
                <w:ilvl w:val="0"/>
                <w:numId w:val="1"/>
              </w:numPr>
              <w:spacing w:before="0" w:after="20"/>
              <w:jc w:val="left"/>
            </w:pPr>
            <w:r>
              <w:rPr>
                <w:rFonts w:ascii="Calibri" w:cs="Calibri" w:eastAsia="Calibri" w:hAnsi="Calibri"/>
                <w:b w:val="false"/>
                <w:bCs w:val="false"/>
                <w:i w:val="false"/>
                <w:iCs w:val="false"/>
                <w:color w:val="000000"/>
                <w:sz w:val="20"/>
                <w:szCs w:val="20"/>
              </w:rPr>
              <w:t xml:space="preserve">platinum ring R51,400.00</w:t>
            </w:r>
          </w:p>
          <w:p>
            <w:pPr>
              <w:pStyle w:val="ListParagraph"/>
              <w:numPr>
                <w:ilvl w:val="0"/>
                <w:numId w:val="1"/>
              </w:numPr>
              <w:spacing w:before="0" w:after="40"/>
              <w:jc w:val="left"/>
            </w:pPr>
            <w:r>
              <w:rPr>
                <w:rFonts w:ascii="Calibri" w:cs="Calibri" w:eastAsia="Calibri" w:hAnsi="Calibri"/>
                <w:b w:val="false"/>
                <w:bCs w:val="false"/>
                <w:i w:val="false"/>
                <w:iCs w:val="false"/>
                <w:color w:val="000000"/>
                <w:sz w:val="20"/>
                <w:szCs w:val="20"/>
              </w:rPr>
              <w:t xml:space="preserve">pedal cycle R42,800.00</w:t>
            </w:r>
          </w:p>
        </w:tc>
        <w:tc>
          <w:tcPr>
            <w:tcMar>
              <w:top w:type="dxa" w:w="144"/>
              <w:left w:type="dxa" w:w="144"/>
              <w:bottom w:type="dxa" w:w="104"/>
              <w:right w:type="dxa" w:w="144"/>
            </w:tcMar>
          </w:tcPr>
          <w:p>
            <w:pPr>
              <w:spacing w:before="0" w:after="20"/>
              <w:jc w:val="left"/>
            </w:pPr>
            <w:r>
              <w:rPr>
                <w:rFonts w:ascii="Calibri" w:cs="Calibri" w:eastAsia="Calibri" w:hAnsi="Calibri"/>
                <w:b w:val="false"/>
                <w:bCs w:val="false"/>
                <w:i w:val="false"/>
                <w:iCs w:val="false"/>
                <w:color w:val="000000"/>
                <w:sz w:val="20"/>
                <w:szCs w:val="20"/>
              </w:rPr>
              <w:t xml:space="preserve">R219,308 total:</w:t>
            </w:r>
          </w:p>
          <w:p>
            <w:pPr>
              <w:pStyle w:val="ListParagraph"/>
              <w:numPr>
                <w:ilvl w:val="0"/>
                <w:numId w:val="1"/>
              </w:numPr>
              <w:spacing w:before="0" w:after="20"/>
              <w:jc w:val="left"/>
            </w:pPr>
            <w:r>
              <w:rPr>
                <w:rFonts w:ascii="Calibri" w:cs="Calibri" w:eastAsia="Calibri" w:hAnsi="Calibri"/>
                <w:b w:val="false"/>
                <w:bCs w:val="false"/>
                <w:i w:val="false"/>
                <w:iCs w:val="false"/>
                <w:color w:val="000000"/>
                <w:sz w:val="20"/>
                <w:szCs w:val="20"/>
              </w:rPr>
              <w:t xml:space="preserve">general and clothing R125,108</w:t>
            </w:r>
          </w:p>
          <w:p>
            <w:pPr>
              <w:pStyle w:val="ListParagraph"/>
              <w:numPr>
                <w:ilvl w:val="0"/>
                <w:numId w:val="1"/>
              </w:numPr>
              <w:spacing w:before="0" w:after="20"/>
              <w:jc w:val="left"/>
            </w:pPr>
            <w:r>
              <w:rPr>
                <w:rFonts w:ascii="Calibri" w:cs="Calibri" w:eastAsia="Calibri" w:hAnsi="Calibri"/>
                <w:b w:val="false"/>
                <w:bCs w:val="false"/>
                <w:i w:val="false"/>
                <w:iCs w:val="false"/>
                <w:color w:val="000000"/>
                <w:sz w:val="20"/>
                <w:szCs w:val="20"/>
              </w:rPr>
              <w:t xml:space="preserve">platinum ring R51,400</w:t>
            </w:r>
          </w:p>
          <w:p>
            <w:pPr>
              <w:pStyle w:val="ListParagraph"/>
              <w:numPr>
                <w:ilvl w:val="0"/>
                <w:numId w:val="1"/>
              </w:numPr>
              <w:spacing w:before="0" w:after="40"/>
              <w:jc w:val="left"/>
            </w:pPr>
            <w:r>
              <w:rPr>
                <w:rFonts w:ascii="Calibri" w:cs="Calibri" w:eastAsia="Calibri" w:hAnsi="Calibri"/>
                <w:b w:val="false"/>
                <w:bCs w:val="false"/>
                <w:i w:val="false"/>
                <w:iCs w:val="false"/>
                <w:color w:val="000000"/>
                <w:sz w:val="20"/>
                <w:szCs w:val="20"/>
              </w:rPr>
              <w:t xml:space="preserve">mountain bike R42,800</w:t>
            </w:r>
          </w:p>
        </w:tc>
        <w:tc>
          <w:tcPr>
            <w:tcMar>
              <w:top w:type="dxa" w:w="144"/>
              <w:left w:type="dxa" w:w="144"/>
              <w:bottom w:type="dxa" w:w="104"/>
              <w:right w:type="dxa" w:w="144"/>
            </w:tcMar>
          </w:tcPr>
          <w:p>
            <w:pPr>
              <w:spacing w:before="0" w:after="20"/>
              <w:jc w:val="left"/>
            </w:pPr>
            <w:r>
              <w:rPr>
                <w:rFonts w:ascii="Calibri" w:cs="Calibri" w:eastAsia="Calibri" w:hAnsi="Calibri"/>
                <w:b w:val="false"/>
                <w:bCs w:val="false"/>
                <w:i w:val="false"/>
                <w:iCs w:val="false"/>
                <w:color w:val="000000"/>
                <w:sz w:val="20"/>
                <w:szCs w:val="20"/>
              </w:rPr>
              <w:t xml:space="preserve">R219,307.64 total:</w:t>
            </w:r>
          </w:p>
          <w:p>
            <w:pPr>
              <w:pStyle w:val="ListParagraph"/>
              <w:numPr>
                <w:ilvl w:val="0"/>
                <w:numId w:val="1"/>
              </w:numPr>
              <w:spacing w:before="0" w:after="20"/>
              <w:jc w:val="left"/>
            </w:pPr>
            <w:r>
              <w:rPr>
                <w:rFonts w:ascii="Calibri" w:cs="Calibri" w:eastAsia="Calibri" w:hAnsi="Calibri"/>
                <w:b w:val="false"/>
                <w:bCs w:val="false"/>
                <w:i w:val="false"/>
                <w:iCs w:val="false"/>
                <w:color w:val="000000"/>
                <w:sz w:val="20"/>
                <w:szCs w:val="20"/>
              </w:rPr>
              <w:t xml:space="preserve">unspecified R125,107.64</w:t>
            </w:r>
          </w:p>
          <w:p>
            <w:pPr>
              <w:pStyle w:val="ListParagraph"/>
              <w:numPr>
                <w:ilvl w:val="0"/>
                <w:numId w:val="1"/>
              </w:numPr>
              <w:spacing w:before="0" w:after="20"/>
              <w:jc w:val="left"/>
            </w:pPr>
            <w:r>
              <w:rPr>
                <w:rFonts w:ascii="Calibri" w:cs="Calibri" w:eastAsia="Calibri" w:hAnsi="Calibri"/>
                <w:b w:val="false"/>
                <w:bCs w:val="false"/>
                <w:i w:val="false"/>
                <w:iCs w:val="false"/>
                <w:color w:val="000000"/>
                <w:sz w:val="20"/>
                <w:szCs w:val="20"/>
              </w:rPr>
              <w:t xml:space="preserve">platinum ring R51,400.00</w:t>
            </w:r>
          </w:p>
          <w:p>
            <w:pPr>
              <w:pStyle w:val="ListParagraph"/>
              <w:numPr>
                <w:ilvl w:val="0"/>
                <w:numId w:val="1"/>
              </w:numPr>
              <w:spacing w:before="0" w:after="40"/>
              <w:jc w:val="left"/>
            </w:pPr>
            <w:r>
              <w:rPr>
                <w:rFonts w:ascii="Calibri" w:cs="Calibri" w:eastAsia="Calibri" w:hAnsi="Calibri"/>
                <w:b w:val="false"/>
                <w:bCs w:val="false"/>
                <w:i w:val="false"/>
                <w:iCs w:val="false"/>
                <w:color w:val="000000"/>
                <w:sz w:val="20"/>
                <w:szCs w:val="20"/>
              </w:rPr>
              <w:t xml:space="preserve">mountain bike R42,800.00</w:t>
            </w:r>
          </w:p>
        </w:tc>
        <w:tc>
          <w:tcPr>
            <w:tcMar>
              <w:top w:type="dxa" w:w="144"/>
              <w:left w:type="dxa" w:w="144"/>
              <w:bottom w:type="dxa" w:w="104"/>
              <w:right w:type="dxa" w:w="144"/>
            </w:tcMar>
          </w:tcPr>
          <w:p>
            <w:pPr>
              <w:spacing w:before="0" w:after="20"/>
              <w:jc w:val="left"/>
            </w:pPr>
            <w:r>
              <w:rPr>
                <w:rFonts w:ascii="Calibri" w:cs="Calibri" w:eastAsia="Calibri" w:hAnsi="Calibri"/>
                <w:b w:val="false"/>
                <w:bCs w:val="false"/>
                <w:i w:val="false"/>
                <w:iCs w:val="false"/>
                <w:color w:val="000000"/>
                <w:sz w:val="20"/>
                <w:szCs w:val="20"/>
              </w:rPr>
              <w:t xml:space="preserve">R219,308 total:</w:t>
            </w:r>
          </w:p>
          <w:p>
            <w:pPr>
              <w:pStyle w:val="ListParagraph"/>
              <w:numPr>
                <w:ilvl w:val="0"/>
                <w:numId w:val="1"/>
              </w:numPr>
              <w:spacing w:before="0" w:after="20"/>
              <w:jc w:val="left"/>
            </w:pPr>
            <w:r>
              <w:rPr>
                <w:rFonts w:ascii="Calibri" w:cs="Calibri" w:eastAsia="Calibri" w:hAnsi="Calibri"/>
                <w:b w:val="false"/>
                <w:bCs w:val="false"/>
                <w:i w:val="false"/>
                <w:iCs w:val="false"/>
                <w:color w:val="000000"/>
                <w:sz w:val="20"/>
                <w:szCs w:val="20"/>
              </w:rPr>
              <w:t xml:space="preserve">general and clothing R125,108</w:t>
            </w:r>
          </w:p>
          <w:p>
            <w:pPr>
              <w:pStyle w:val="ListParagraph"/>
              <w:numPr>
                <w:ilvl w:val="0"/>
                <w:numId w:val="1"/>
              </w:numPr>
              <w:spacing w:before="0" w:after="20"/>
              <w:jc w:val="left"/>
            </w:pPr>
            <w:r>
              <w:rPr>
                <w:rFonts w:ascii="Calibri" w:cs="Calibri" w:eastAsia="Calibri" w:hAnsi="Calibri"/>
                <w:b w:val="false"/>
                <w:bCs w:val="false"/>
                <w:i w:val="false"/>
                <w:iCs w:val="false"/>
                <w:color w:val="000000"/>
                <w:sz w:val="20"/>
                <w:szCs w:val="20"/>
              </w:rPr>
              <w:t xml:space="preserve">platinum ring R51,400</w:t>
            </w:r>
          </w:p>
          <w:p>
            <w:pPr>
              <w:pStyle w:val="ListParagraph"/>
              <w:numPr>
                <w:ilvl w:val="0"/>
                <w:numId w:val="1"/>
              </w:numPr>
              <w:spacing w:before="0" w:after="40"/>
              <w:jc w:val="left"/>
            </w:pPr>
            <w:r>
              <w:rPr>
                <w:rFonts w:ascii="Calibri" w:cs="Calibri" w:eastAsia="Calibri" w:hAnsi="Calibri"/>
                <w:b w:val="false"/>
                <w:bCs w:val="false"/>
                <w:i w:val="false"/>
                <w:iCs w:val="false"/>
                <w:color w:val="000000"/>
                <w:sz w:val="20"/>
                <w:szCs w:val="20"/>
              </w:rPr>
              <w:t xml:space="preserve">mountain bike R42,800</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bCs/>
                <w:i w:val="false"/>
                <w:iCs w:val="false"/>
                <w:color w:val="000000"/>
                <w:sz w:val="20"/>
                <w:szCs w:val="20"/>
              </w:rPr>
              <w:t xml:space="preserve">Premium</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R1,913.62</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R814.63</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R1,265.87 (unspecified R869.00; specified R396.87)</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R1,913.62</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bCs/>
                <w:i w:val="false"/>
                <w:iCs w:val="false"/>
                <w:color w:val="000000"/>
                <w:sz w:val="20"/>
                <w:szCs w:val="20"/>
              </w:rPr>
              <w:t xml:space="preserve">Security Details</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Jewellery and watches above R50,000 per item in locked safe</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Jewellery above R10,000 in SABS wall- or floor-mounted safe when not worn</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Items above scheduled amount in locked wall- or floor-mounted safe when not worn</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bCs/>
                <w:i w:val="false"/>
                <w:iCs w:val="false"/>
                <w:color w:val="000000"/>
                <w:sz w:val="20"/>
                <w:szCs w:val="20"/>
              </w:rPr>
              <w:t xml:space="preserve">Unspecified Items (General and Clothing)</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R125,107.64; item limit 25% of sum insured max R150,000; R1,455.35</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R125,108; unspecified limited to 25% of sum insured, maximum item limit R6,000; R403.09</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R125,107.64; R869.00</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R125,108; R1,455.35</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bCs/>
                <w:i w:val="false"/>
                <w:iCs w:val="false"/>
                <w:color w:val="000000"/>
                <w:sz w:val="20"/>
                <w:szCs w:val="20"/>
              </w:rPr>
              <w:t xml:space="preserve">Jewellery: Platinum Ring</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R51,400.00; R200.82</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R51,400; R189.95</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R51,400.00; R163.42</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R51,400; R200.82</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  - Conditions</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Safe warranty above R50,000 per item; valuation certificate needed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Valuation certificate above R10,000; otherwise claim may be repudiated or limited to R10,000 per item</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Independent valuation under 5 years old or payout limited to scheduled amount; R7,500 limit without proof of ownership</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bCs/>
                <w:i w:val="false"/>
                <w:iCs w:val="false"/>
                <w:color w:val="000000"/>
                <w:sz w:val="20"/>
                <w:szCs w:val="20"/>
              </w:rPr>
              <w:t xml:space="preserve">Pedal Cycle: full-suspension mountain bike</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R42,800.00; R257.45</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R42,800; R221.59</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R42,800.00; R233.45</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R42,800; R257.45</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  - Conditions</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Valuation, invoice or catalogue value required or no cover</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bCs/>
                <w:i w:val="false"/>
                <w:iCs w:val="false"/>
                <w:color w:val="000000"/>
                <w:sz w:val="20"/>
                <w:szCs w:val="20"/>
              </w:rPr>
              <w:t xml:space="preserve">Excess / First Amount Payable</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Basic R1,000.00 per item</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Unspecified R500; specified R250 per item; cellular phones R500; pedal cycles R1,000</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 (excess and limits page not supplied)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Basic R1,000; unspecified 10% of claim min R1,250; mobile phones and tablets R1,000</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bCs/>
                <w:i w:val="false"/>
                <w:iCs w:val="false"/>
                <w:color w:val="000000"/>
                <w:sz w:val="20"/>
                <w:szCs w:val="20"/>
              </w:rPr>
              <w:t xml:space="preserve">Theft from Vehicle / Remote Jamming</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Extension R30,000 with additional 10% excess</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bCs/>
                <w:i w:val="false"/>
                <w:iCs w:val="false"/>
                <w:color w:val="000000"/>
                <w:sz w:val="20"/>
                <w:szCs w:val="20"/>
              </w:rPr>
              <w:t xml:space="preserve">Away-from-Home Scope / Executive Benefit</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Territorial scope not stated in schedule</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Territorial scope not stated in schedule</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Executive-tier quote: Worldwide Cover under the MUA Executive policy is not quantified in the quote; limit per claim, excess and conditions to be confirmed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Territorial scope not stated in schedule</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  - Conditions</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Safe clause and valuables limit to be confirmed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r>
    </w:tbl>
    <w:p>
      <w:pPr>
        <w:spacing w:before="160" w:after="160"/>
      </w:pPr>
      <w:r>
        <w:t xml:space="preserve"/>
      </w:r>
    </w:p>
    <w:p>
      <w:pPr>
        <w:pStyle w:val="Heading1"/>
        <w:keepNext/>
        <w:keepLines/>
        <w:pBdr>
          <w:bottom w:val="single" w:color="D3DBDD" w:sz="4" w:space="4"/>
        </w:pBdr>
        <w:spacing w:before="360" w:after="160"/>
      </w:pPr>
      <w:r>
        <w:rPr>
          <w:rFonts w:ascii="Calibri" w:cs="Calibri" w:eastAsia="Calibri" w:hAnsi="Calibri"/>
          <w:b/>
          <w:bCs/>
          <w:color w:val="000000"/>
          <w:sz w:val="36"/>
          <w:szCs w:val="36"/>
        </w:rPr>
        <w:t xml:space="preserve">7. </w:t>
      </w:r>
      <w:r>
        <w:rPr>
          <w:rFonts w:ascii="Calibri" w:cs="Calibri" w:eastAsia="Calibri" w:hAnsi="Calibri"/>
          <w:b/>
          <w:bCs/>
          <w:color w:val="000000"/>
          <w:sz w:val="36"/>
          <w:szCs w:val="36"/>
        </w:rPr>
        <w:t xml:space="preserve">Motor: volkswagen polo 1.2 TSI 2015 (ABC 123 GP)</w:t>
      </w:r>
    </w:p>
    <w:p>
      <w:pPr>
        <w:keepNext/>
        <w:spacing w:before="80" w:after="80"/>
      </w:pPr>
      <w:r>
        <w:rPr>
          <w:rFonts w:ascii="Calibri" w:cs="Calibri" w:eastAsia="Calibri" w:hAnsi="Calibri"/>
          <w:i/>
          <w:iCs/>
          <w:color w:val="000000"/>
          <w:sz w:val="20"/>
          <w:szCs w:val="20"/>
        </w:rPr>
        <w:t xml:space="preserve">Overnight: 1 Example Road, Sandton, 2196 (garage); Discovery daytime: Example Office Park, Sandton (carport)</w:t>
      </w:r>
    </w:p>
    <w:tbl>
      <w:tblPr>
        <w:tblW w:type="pct" w:w="5000%"/>
        <w:tblBorders>
          <w:top w:val="single" w:color="D3DBDD" w:sz="4"/>
          <w:left w:val="single" w:color="D3DBDD" w:sz="4"/>
          <w:bottom w:val="single" w:color="D3DBDD" w:sz="4"/>
          <w:right w:val="single" w:color="D3DBDD" w:sz="4"/>
          <w:insideH w:val="single" w:color="D3DBDD" w:sz="4"/>
          <w:insideV w:val="single" w:color="D3DBDD" w:sz="4"/>
        </w:tblBorders>
        <w:tblLayout w:type="fixed"/>
      </w:tblPr>
      <w:tblGrid>
        <w:gridCol w:w="2907"/>
        <w:gridCol w:w="1890"/>
        <w:gridCol w:w="1890"/>
        <w:gridCol w:w="1890"/>
        <w:gridCol w:w="1889"/>
      </w:tblGrid>
      <w:tr>
        <w:trPr>
          <w:cantSplit/>
          <w:tblHeader/>
        </w:trPr>
        <w:tc>
          <w:tcPr>
            <w:tcBorders>
              <w:bottom w:val="single" w:color="2F3437" w:sz="4"/>
            </w:tcBorders>
            <w:shd w:fill="2F3437" w:color="2F3437" w:val="clear"/>
            <w:tcMar>
              <w:top w:type="dxa" w:w="144"/>
              <w:left w:type="dxa" w:w="144"/>
              <w:bottom w:type="dxa" w:w="104"/>
              <w:right w:type="dxa" w:w="144"/>
            </w:tcMar>
            <w:vAlign w:val="center"/>
          </w:tcPr>
          <w:p>
            <w:pPr>
              <w:keepNext/>
              <w:jc w:val="left"/>
            </w:pPr>
            <w:r>
              <w:rPr>
                <w:rFonts w:ascii="Calibri" w:cs="Calibri" w:eastAsia="Calibri" w:hAnsi="Calibri"/>
                <w:b/>
                <w:bCs/>
                <w:color w:val="FFFFFF"/>
                <w:spacing w:val="20"/>
                <w:sz w:val="16"/>
                <w:szCs w:val="16"/>
              </w:rPr>
              <w:t xml:space="preserve">ITEM</w:t>
            </w:r>
          </w:p>
        </w:tc>
        <w:tc>
          <w:tcPr>
            <w:tcBorders>
              <w:bottom w:val="single" w:color="2F3437" w:sz="4"/>
            </w:tcBorders>
            <w:shd w:fill="2F3437" w:color="2F3437" w:val="clear"/>
            <w:tcMar>
              <w:top w:type="dxa" w:w="144"/>
              <w:left w:type="dxa" w:w="144"/>
              <w:bottom w:type="dxa" w:w="104"/>
              <w:right w:type="dxa" w:w="144"/>
            </w:tcMar>
            <w:vAlign w:val="center"/>
          </w:tcPr>
          <w:p>
            <w:pPr>
              <w:keepNext/>
              <w:jc w:val="left"/>
            </w:pPr>
            <w:r>
              <w:rPr>
                <w:rFonts w:ascii="Calibri" w:cs="Calibri" w:eastAsia="Calibri" w:hAnsi="Calibri"/>
                <w:b/>
                <w:bCs/>
                <w:color w:val="FFFFFF"/>
                <w:spacing w:val="20"/>
                <w:sz w:val="16"/>
                <w:szCs w:val="16"/>
              </w:rPr>
              <w:t xml:space="preserve">DISCOVERY INSURE PURPLE PLAN QTE-0000001 (CURRENT POLICY)</w:t>
            </w:r>
          </w:p>
        </w:tc>
        <w:tc>
          <w:tcPr>
            <w:tcBorders>
              <w:bottom w:val="single" w:color="2F3437" w:sz="4"/>
            </w:tcBorders>
            <w:shd w:fill="2F3437" w:color="2F3437" w:val="clear"/>
            <w:tcMar>
              <w:top w:type="dxa" w:w="144"/>
              <w:left w:type="dxa" w:w="144"/>
              <w:bottom w:type="dxa" w:w="104"/>
              <w:right w:type="dxa" w:w="144"/>
            </w:tcMar>
            <w:vAlign w:val="center"/>
          </w:tcPr>
          <w:p>
            <w:pPr>
              <w:keepNext/>
              <w:jc w:val="left"/>
            </w:pPr>
            <w:r>
              <w:rPr>
                <w:rFonts w:ascii="Calibri" w:cs="Calibri" w:eastAsia="Calibri" w:hAnsi="Calibri"/>
                <w:b/>
                <w:bCs/>
                <w:color w:val="FFFFFF"/>
                <w:spacing w:val="20"/>
                <w:sz w:val="16"/>
                <w:szCs w:val="16"/>
              </w:rPr>
              <w:t xml:space="preserve">BRYTE PERSONAL POLICY QTE-0000002</w:t>
            </w:r>
          </w:p>
        </w:tc>
        <w:tc>
          <w:tcPr>
            <w:tcBorders>
              <w:bottom w:val="single" w:color="2F3437" w:sz="4"/>
            </w:tcBorders>
            <w:shd w:fill="2F3437" w:color="2F3437" w:val="clear"/>
            <w:tcMar>
              <w:top w:type="dxa" w:w="144"/>
              <w:left w:type="dxa" w:w="144"/>
              <w:bottom w:type="dxa" w:w="104"/>
              <w:right w:type="dxa" w:w="144"/>
            </w:tcMar>
            <w:vAlign w:val="center"/>
          </w:tcPr>
          <w:p>
            <w:pPr>
              <w:keepNext/>
              <w:jc w:val="left"/>
            </w:pPr>
            <w:r>
              <w:rPr>
                <w:rFonts w:ascii="Calibri" w:cs="Calibri" w:eastAsia="Calibri" w:hAnsi="Calibri"/>
                <w:b/>
                <w:bCs/>
                <w:color w:val="FFFFFF"/>
                <w:spacing w:val="20"/>
                <w:sz w:val="16"/>
                <w:szCs w:val="16"/>
              </w:rPr>
              <w:t xml:space="preserve">MUA EXECUTIVE POLICY QTE-0000003</w:t>
            </w:r>
          </w:p>
        </w:tc>
        <w:tc>
          <w:tcPr>
            <w:tcBorders>
              <w:bottom w:val="single" w:color="2F3437" w:sz="4"/>
            </w:tcBorders>
            <w:shd w:fill="2F3437" w:color="2F3437" w:val="clear"/>
            <w:tcMar>
              <w:top w:type="dxa" w:w="144"/>
              <w:left w:type="dxa" w:w="144"/>
              <w:bottom w:type="dxa" w:w="104"/>
              <w:right w:type="dxa" w:w="144"/>
            </w:tcMar>
            <w:vAlign w:val="center"/>
          </w:tcPr>
          <w:p>
            <w:pPr>
              <w:keepNext/>
              <w:jc w:val="left"/>
            </w:pPr>
            <w:r>
              <w:rPr>
                <w:rFonts w:ascii="Calibri" w:cs="Calibri" w:eastAsia="Calibri" w:hAnsi="Calibri"/>
                <w:b/>
                <w:bCs/>
                <w:color w:val="FFFFFF"/>
                <w:spacing w:val="20"/>
                <w:sz w:val="16"/>
                <w:szCs w:val="16"/>
              </w:rPr>
              <w:t xml:space="preserve">APEX PINNACLE PERSONAL QTE-0000004</w:t>
            </w:r>
          </w:p>
        </w:tc>
      </w:tr>
      <w:tr>
        <w:trPr>
          <w:cantSplit/>
        </w:trPr>
        <w:tc>
          <w:tcPr>
            <w:tcMar>
              <w:top w:type="dxa" w:w="144"/>
              <w:left w:type="dxa" w:w="144"/>
              <w:bottom w:type="dxa" w:w="104"/>
              <w:right w:type="dxa" w:w="144"/>
            </w:tcMar>
          </w:tcPr>
          <w:p>
            <w:pPr>
              <w:spacing w:before="0" w:after="40"/>
              <w:jc w:val="left"/>
            </w:pPr>
            <w:r>
              <w:rPr>
                <w:rFonts w:ascii="Calibri" w:cs="Calibri" w:eastAsia="Calibri" w:hAnsi="Calibri"/>
                <w:b/>
                <w:bCs/>
                <w:i w:val="false"/>
                <w:iCs w:val="false"/>
                <w:color w:val="000000"/>
                <w:sz w:val="20"/>
                <w:szCs w:val="20"/>
              </w:rPr>
              <w:t xml:space="preserve">Sum Insured</w:t>
            </w:r>
          </w:p>
        </w:tc>
        <w:tc>
          <w:tcPr>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Retail value</w:t>
            </w:r>
          </w:p>
        </w:tc>
        <w:tc>
          <w:tcPr>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Retail value (Sasria R110,600)</w:t>
            </w:r>
          </w:p>
        </w:tc>
        <w:tc>
          <w:tcPr>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R110,600.00</w:t>
            </w:r>
          </w:p>
        </w:tc>
        <w:tc>
          <w:tcPr>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R110,600</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bCs/>
                <w:i w:val="false"/>
                <w:iCs w:val="false"/>
                <w:color w:val="000000"/>
                <w:sz w:val="20"/>
                <w:szCs w:val="20"/>
              </w:rPr>
              <w:t xml:space="preserve">Premium</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R1,035.09 (R890.09 comprehensive + R145.00 Stolen Vehicle Recovery; 30-day car hire R0.00)</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R392.69</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R696.25</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R890.09</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bCs/>
                <w:i w:val="false"/>
                <w:iCs w:val="false"/>
                <w:color w:val="000000"/>
                <w:sz w:val="20"/>
                <w:szCs w:val="20"/>
              </w:rPr>
              <w:t xml:space="preserve">Security Details</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 tracking device required; Crowdsearch SVR; garage secured overnight</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Locked garage; no tracking stated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Behind secured gates; factory-fitted security; no tracking required on this vehicle</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Locked garage; immobiliser and tracking fields blank</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bCs/>
                <w:i w:val="false"/>
                <w:iCs w:val="false"/>
                <w:color w:val="000000"/>
                <w:sz w:val="20"/>
                <w:szCs w:val="20"/>
              </w:rPr>
              <w:t xml:space="preserve">Basic Excess / First Amount Payable</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R5,500.00 (glass R1,000.00)</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R4,000 (theft additional R3,000; single-vehicle accident 21h00-05h00 additional R2,000; windscreen 25% min R500)</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R3,500.00 (voluntary R0.00)</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R3,750 for sum insured up to R500,000 (OEM glass 15% min R750; keys R250)</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  - Conditions</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Excesses are independent and cumulative</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Additional R2,500 if driver under 25 or licence under 2 years</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  - Policy Terms</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Voluntary R0.00</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Voluntary R0</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Voluntary R0; excess waiver No</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bCs/>
                <w:i w:val="false"/>
                <w:iCs w:val="false"/>
                <w:color w:val="000000"/>
                <w:sz w:val="20"/>
                <w:szCs w:val="20"/>
              </w:rPr>
              <w:t xml:space="preserve">Basis of Settlement</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Retail value</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Retail value</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stated; vehicle sum insured R110,600.00</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stated; sum insured R110,600</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  - Conditions</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Pre-inspection required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bCs/>
                <w:i w:val="false"/>
                <w:iCs w:val="false"/>
                <w:color w:val="000000"/>
                <w:sz w:val="20"/>
                <w:szCs w:val="20"/>
              </w:rPr>
              <w:t xml:space="preserve">Third-Party Liability</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Motor third-party liability R5,000,000; additional third-party liability elected R5,000,000</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  - Conditions</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Passenger liability R2,500,000 for drivers under 25</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bCs/>
                <w:i w:val="false"/>
                <w:iCs w:val="false"/>
                <w:color w:val="000000"/>
                <w:sz w:val="20"/>
                <w:szCs w:val="20"/>
              </w:rPr>
              <w:t xml:space="preserve">Car Hire</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30 days included R0.00 (Toyota Corolla Auto or similar)</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selected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30 days Standard elected R70.00 per month</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Pinnacle vehicle hire Group A 45 days R121.23 per month</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bCs/>
                <w:i w:val="false"/>
                <w:iCs w:val="false"/>
                <w:color w:val="000000"/>
                <w:sz w:val="20"/>
                <w:szCs w:val="20"/>
              </w:rPr>
              <w:t xml:space="preserve">Class of Use</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Private and professional</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Private and limited professional and business</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Private</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Business</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  - Conditions</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Cannot be used for commercial travelling</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Confirm business class is intended</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bCs/>
                <w:i w:val="false"/>
                <w:iCs w:val="false"/>
                <w:color w:val="000000"/>
                <w:sz w:val="20"/>
                <w:szCs w:val="20"/>
              </w:rPr>
              <w:t xml:space="preserve">Emergency and Extension Benefits</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Locks and keys R10,000; emergency repairs R5,000; accommodation R5,000; towing R2,500; wreckage R2,000; medical R10,000 per occupant max R40,000 per event</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Medical R15,000; loss of keys R20,000; accommodation R15,000; wreckage R20,000; fire extinguishing R20,000; essential alterations R75,000</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  - Conditions</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 cover if not fitted with anti-theft device where required; stolen and not recovered additional 2.5%</w:t>
            </w:r>
          </w:p>
        </w:tc>
      </w:tr>
    </w:tbl>
    <w:p>
      <w:pPr>
        <w:spacing w:before="160" w:after="160"/>
      </w:pPr>
      <w:r>
        <w:t xml:space="preserve"/>
      </w:r>
    </w:p>
    <w:p>
      <w:pPr>
        <w:pStyle w:val="Heading1"/>
        <w:keepNext/>
        <w:keepLines/>
        <w:pBdr>
          <w:bottom w:val="single" w:color="D3DBDD" w:sz="4" w:space="4"/>
        </w:pBdr>
        <w:spacing w:before="360" w:after="160"/>
      </w:pPr>
      <w:r>
        <w:rPr>
          <w:rFonts w:ascii="Calibri" w:cs="Calibri" w:eastAsia="Calibri" w:hAnsi="Calibri"/>
          <w:b/>
          <w:bCs/>
          <w:color w:val="000000"/>
          <w:sz w:val="36"/>
          <w:szCs w:val="36"/>
        </w:rPr>
        <w:t xml:space="preserve">8. </w:t>
      </w:r>
      <w:r>
        <w:rPr>
          <w:rFonts w:ascii="Calibri" w:cs="Calibri" w:eastAsia="Calibri" w:hAnsi="Calibri"/>
          <w:b/>
          <w:bCs/>
          <w:color w:val="000000"/>
          <w:sz w:val="36"/>
          <w:szCs w:val="36"/>
        </w:rPr>
        <w:t xml:space="preserve">Motor: toyota corolla cross 1.8 XR 2026 (ABC 456 GP)</w:t>
      </w:r>
    </w:p>
    <w:p>
      <w:pPr>
        <w:keepNext/>
        <w:spacing w:before="80" w:after="80"/>
      </w:pPr>
      <w:r>
        <w:rPr>
          <w:rFonts w:ascii="Calibri" w:cs="Calibri" w:eastAsia="Calibri" w:hAnsi="Calibri"/>
          <w:i/>
          <w:iCs/>
          <w:color w:val="000000"/>
          <w:sz w:val="20"/>
          <w:szCs w:val="20"/>
        </w:rPr>
        <w:t xml:space="preserve">Overnight: 1 Example Road, Sandton, 2196 (garage); Discovery daytime: same address (garage)</w:t>
      </w:r>
    </w:p>
    <w:tbl>
      <w:tblPr>
        <w:tblW w:type="pct" w:w="5000%"/>
        <w:tblBorders>
          <w:top w:val="single" w:color="D3DBDD" w:sz="4"/>
          <w:left w:val="single" w:color="D3DBDD" w:sz="4"/>
          <w:bottom w:val="single" w:color="D3DBDD" w:sz="4"/>
          <w:right w:val="single" w:color="D3DBDD" w:sz="4"/>
          <w:insideH w:val="single" w:color="D3DBDD" w:sz="4"/>
          <w:insideV w:val="single" w:color="D3DBDD" w:sz="4"/>
        </w:tblBorders>
        <w:tblLayout w:type="fixed"/>
      </w:tblPr>
      <w:tblGrid>
        <w:gridCol w:w="2907"/>
        <w:gridCol w:w="1890"/>
        <w:gridCol w:w="1890"/>
        <w:gridCol w:w="1890"/>
        <w:gridCol w:w="1889"/>
      </w:tblGrid>
      <w:tr>
        <w:trPr>
          <w:cantSplit/>
          <w:tblHeader/>
        </w:trPr>
        <w:tc>
          <w:tcPr>
            <w:tcBorders>
              <w:bottom w:val="single" w:color="2F3437" w:sz="4"/>
            </w:tcBorders>
            <w:shd w:fill="2F3437" w:color="2F3437" w:val="clear"/>
            <w:tcMar>
              <w:top w:type="dxa" w:w="144"/>
              <w:left w:type="dxa" w:w="144"/>
              <w:bottom w:type="dxa" w:w="104"/>
              <w:right w:type="dxa" w:w="144"/>
            </w:tcMar>
            <w:vAlign w:val="center"/>
          </w:tcPr>
          <w:p>
            <w:pPr>
              <w:keepNext/>
              <w:jc w:val="left"/>
            </w:pPr>
            <w:r>
              <w:rPr>
                <w:rFonts w:ascii="Calibri" w:cs="Calibri" w:eastAsia="Calibri" w:hAnsi="Calibri"/>
                <w:b/>
                <w:bCs/>
                <w:color w:val="FFFFFF"/>
                <w:spacing w:val="20"/>
                <w:sz w:val="16"/>
                <w:szCs w:val="16"/>
              </w:rPr>
              <w:t xml:space="preserve">ITEM</w:t>
            </w:r>
          </w:p>
        </w:tc>
        <w:tc>
          <w:tcPr>
            <w:tcBorders>
              <w:bottom w:val="single" w:color="2F3437" w:sz="4"/>
            </w:tcBorders>
            <w:shd w:fill="2F3437" w:color="2F3437" w:val="clear"/>
            <w:tcMar>
              <w:top w:type="dxa" w:w="144"/>
              <w:left w:type="dxa" w:w="144"/>
              <w:bottom w:type="dxa" w:w="104"/>
              <w:right w:type="dxa" w:w="144"/>
            </w:tcMar>
            <w:vAlign w:val="center"/>
          </w:tcPr>
          <w:p>
            <w:pPr>
              <w:keepNext/>
              <w:jc w:val="left"/>
            </w:pPr>
            <w:r>
              <w:rPr>
                <w:rFonts w:ascii="Calibri" w:cs="Calibri" w:eastAsia="Calibri" w:hAnsi="Calibri"/>
                <w:b/>
                <w:bCs/>
                <w:color w:val="FFFFFF"/>
                <w:spacing w:val="20"/>
                <w:sz w:val="16"/>
                <w:szCs w:val="16"/>
              </w:rPr>
              <w:t xml:space="preserve">DISCOVERY INSURE PURPLE PLAN QTE-0000001 (CURRENT POLICY)</w:t>
            </w:r>
          </w:p>
        </w:tc>
        <w:tc>
          <w:tcPr>
            <w:tcBorders>
              <w:bottom w:val="single" w:color="2F3437" w:sz="4"/>
            </w:tcBorders>
            <w:shd w:fill="2F3437" w:color="2F3437" w:val="clear"/>
            <w:tcMar>
              <w:top w:type="dxa" w:w="144"/>
              <w:left w:type="dxa" w:w="144"/>
              <w:bottom w:type="dxa" w:w="104"/>
              <w:right w:type="dxa" w:w="144"/>
            </w:tcMar>
            <w:vAlign w:val="center"/>
          </w:tcPr>
          <w:p>
            <w:pPr>
              <w:keepNext/>
              <w:jc w:val="left"/>
            </w:pPr>
            <w:r>
              <w:rPr>
                <w:rFonts w:ascii="Calibri" w:cs="Calibri" w:eastAsia="Calibri" w:hAnsi="Calibri"/>
                <w:b/>
                <w:bCs/>
                <w:color w:val="FFFFFF"/>
                <w:spacing w:val="20"/>
                <w:sz w:val="16"/>
                <w:szCs w:val="16"/>
              </w:rPr>
              <w:t xml:space="preserve">BRYTE PERSONAL POLICY QTE-0000002</w:t>
            </w:r>
          </w:p>
        </w:tc>
        <w:tc>
          <w:tcPr>
            <w:tcBorders>
              <w:bottom w:val="single" w:color="2F3437" w:sz="4"/>
            </w:tcBorders>
            <w:shd w:fill="2F3437" w:color="2F3437" w:val="clear"/>
            <w:tcMar>
              <w:top w:type="dxa" w:w="144"/>
              <w:left w:type="dxa" w:w="144"/>
              <w:bottom w:type="dxa" w:w="104"/>
              <w:right w:type="dxa" w:w="144"/>
            </w:tcMar>
            <w:vAlign w:val="center"/>
          </w:tcPr>
          <w:p>
            <w:pPr>
              <w:keepNext/>
              <w:jc w:val="left"/>
            </w:pPr>
            <w:r>
              <w:rPr>
                <w:rFonts w:ascii="Calibri" w:cs="Calibri" w:eastAsia="Calibri" w:hAnsi="Calibri"/>
                <w:b/>
                <w:bCs/>
                <w:color w:val="FFFFFF"/>
                <w:spacing w:val="20"/>
                <w:sz w:val="16"/>
                <w:szCs w:val="16"/>
              </w:rPr>
              <w:t xml:space="preserve">MUA EXECUTIVE POLICY QTE-0000003</w:t>
            </w:r>
          </w:p>
        </w:tc>
        <w:tc>
          <w:tcPr>
            <w:tcBorders>
              <w:bottom w:val="single" w:color="2F3437" w:sz="4"/>
            </w:tcBorders>
            <w:shd w:fill="2F3437" w:color="2F3437" w:val="clear"/>
            <w:tcMar>
              <w:top w:type="dxa" w:w="144"/>
              <w:left w:type="dxa" w:w="144"/>
              <w:bottom w:type="dxa" w:w="104"/>
              <w:right w:type="dxa" w:w="144"/>
            </w:tcMar>
            <w:vAlign w:val="center"/>
          </w:tcPr>
          <w:p>
            <w:pPr>
              <w:keepNext/>
              <w:jc w:val="left"/>
            </w:pPr>
            <w:r>
              <w:rPr>
                <w:rFonts w:ascii="Calibri" w:cs="Calibri" w:eastAsia="Calibri" w:hAnsi="Calibri"/>
                <w:b/>
                <w:bCs/>
                <w:color w:val="FFFFFF"/>
                <w:spacing w:val="20"/>
                <w:sz w:val="16"/>
                <w:szCs w:val="16"/>
              </w:rPr>
              <w:t xml:space="preserve">APEX PINNACLE PERSONAL QTE-0000004</w:t>
            </w:r>
          </w:p>
        </w:tc>
      </w:tr>
      <w:tr>
        <w:trPr>
          <w:cantSplit/>
        </w:trPr>
        <w:tc>
          <w:tcPr>
            <w:tcMar>
              <w:top w:type="dxa" w:w="144"/>
              <w:left w:type="dxa" w:w="144"/>
              <w:bottom w:type="dxa" w:w="104"/>
              <w:right w:type="dxa" w:w="144"/>
            </w:tcMar>
          </w:tcPr>
          <w:p>
            <w:pPr>
              <w:spacing w:before="0" w:after="40"/>
              <w:jc w:val="left"/>
            </w:pPr>
            <w:r>
              <w:rPr>
                <w:rFonts w:ascii="Calibri" w:cs="Calibri" w:eastAsia="Calibri" w:hAnsi="Calibri"/>
                <w:b/>
                <w:bCs/>
                <w:i w:val="false"/>
                <w:iCs w:val="false"/>
                <w:color w:val="000000"/>
                <w:sz w:val="20"/>
                <w:szCs w:val="20"/>
              </w:rPr>
              <w:t xml:space="preserve">Sum Insured</w:t>
            </w:r>
          </w:p>
        </w:tc>
        <w:tc>
          <w:tcPr>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Retail value; smash and grab R3,000.00</w:t>
            </w:r>
          </w:p>
        </w:tc>
        <w:tc>
          <w:tcPr>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Retail value (Sasria R549,200)</w:t>
            </w:r>
          </w:p>
        </w:tc>
        <w:tc>
          <w:tcPr>
            <w:tcMar>
              <w:top w:type="dxa" w:w="144"/>
              <w:left w:type="dxa" w:w="144"/>
              <w:bottom w:type="dxa" w:w="104"/>
              <w:right w:type="dxa" w:w="144"/>
            </w:tcMar>
          </w:tcPr>
          <w:p>
            <w:pPr>
              <w:spacing w:before="0" w:after="20"/>
              <w:jc w:val="left"/>
            </w:pPr>
            <w:r>
              <w:rPr>
                <w:rFonts w:ascii="Calibri" w:cs="Calibri" w:eastAsia="Calibri" w:hAnsi="Calibri"/>
                <w:b w:val="false"/>
                <w:bCs w:val="false"/>
                <w:i w:val="false"/>
                <w:iCs w:val="false"/>
                <w:color w:val="000000"/>
                <w:sz w:val="20"/>
                <w:szCs w:val="20"/>
              </w:rPr>
              <w:t xml:space="preserve">R552,200.00 total:</w:t>
            </w:r>
          </w:p>
          <w:p>
            <w:pPr>
              <w:pStyle w:val="ListParagraph"/>
              <w:numPr>
                <w:ilvl w:val="0"/>
                <w:numId w:val="1"/>
              </w:numPr>
              <w:spacing w:before="0" w:after="20"/>
              <w:jc w:val="left"/>
            </w:pPr>
            <w:r>
              <w:rPr>
                <w:rFonts w:ascii="Calibri" w:cs="Calibri" w:eastAsia="Calibri" w:hAnsi="Calibri"/>
                <w:b w:val="false"/>
                <w:bCs w:val="false"/>
                <w:i w:val="false"/>
                <w:iCs w:val="false"/>
                <w:color w:val="000000"/>
                <w:sz w:val="20"/>
                <w:szCs w:val="20"/>
              </w:rPr>
              <w:t xml:space="preserve">vehicle R549,200.00</w:t>
            </w:r>
          </w:p>
          <w:p>
            <w:pPr>
              <w:pStyle w:val="ListParagraph"/>
              <w:numPr>
                <w:ilvl w:val="0"/>
                <w:numId w:val="1"/>
              </w:numPr>
              <w:spacing w:before="0" w:after="40"/>
              <w:jc w:val="left"/>
            </w:pPr>
            <w:r>
              <w:rPr>
                <w:rFonts w:ascii="Calibri" w:cs="Calibri" w:eastAsia="Calibri" w:hAnsi="Calibri"/>
                <w:b w:val="false"/>
                <w:bCs w:val="false"/>
                <w:i w:val="false"/>
                <w:iCs w:val="false"/>
                <w:color w:val="000000"/>
                <w:sz w:val="20"/>
                <w:szCs w:val="20"/>
              </w:rPr>
              <w:t xml:space="preserve">smash &amp; grab R3,000.00</w:t>
            </w:r>
          </w:p>
        </w:tc>
        <w:tc>
          <w:tcPr>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R549,200 (plus smash and grab R3,000)</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bCs/>
                <w:i w:val="false"/>
                <w:iCs w:val="false"/>
                <w:color w:val="000000"/>
                <w:sz w:val="20"/>
                <w:szCs w:val="20"/>
              </w:rPr>
              <w:t xml:space="preserve">Premium</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R987.97 (R842.97 comprehensive + R145.00 Stolen Vehicle Recovery; car hire R0.00)</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R1,454.39</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R1,682.32</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R842.95 (R838.03 + R4.92)</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bCs/>
                <w:i w:val="false"/>
                <w:iCs w:val="false"/>
                <w:color w:val="000000"/>
                <w:sz w:val="20"/>
                <w:szCs w:val="20"/>
              </w:rPr>
              <w:t xml:space="preserve">Security Details</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 tracking device required; garage secured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Locked garage; no tracking stated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Locked garage; mandatory insurer-approved tracking device with early warning</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Locked garage; tracking field blank</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bCs/>
                <w:i w:val="false"/>
                <w:iCs w:val="false"/>
                <w:color w:val="000000"/>
                <w:sz w:val="20"/>
                <w:szCs w:val="20"/>
              </w:rPr>
              <w:t xml:space="preserve">Basic Excess / First Amount Payable</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R5,500.00 (glass R1,000.00)</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R4,000 (theft additional R3,000; first three months additional R3,000; night single-vehicle additional R2,000)</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R5,000.00 (voluntary R0.00)</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R5,750 for sum insured R500,001-R750,000 (confirm band applied)</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  - Conditions</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Excesses are independent and cumulative</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Additional R2,500 if driver under 25 or licence under 2 years</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  - Policy Terms</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Voluntary R0.00</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Voluntary R0</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Excess waiver No</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bCs/>
                <w:i w:val="false"/>
                <w:iCs w:val="false"/>
                <w:color w:val="000000"/>
                <w:sz w:val="20"/>
                <w:szCs w:val="20"/>
              </w:rPr>
              <w:t xml:space="preserve">Smash and Grab / Accessories</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R3,000.00</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R3,000.00</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R3,000 (R4.92)</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bCs/>
                <w:i w:val="false"/>
                <w:iCs w:val="false"/>
                <w:color w:val="000000"/>
                <w:sz w:val="20"/>
                <w:szCs w:val="20"/>
              </w:rPr>
              <w:t xml:space="preserve">Car Hire</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30 days included R0.00</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selected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30 days Standard elected R70.00 per month</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Pinnacle vehicle hire Group D 45 days R170.67 per month</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bCs/>
                <w:i w:val="false"/>
                <w:iCs w:val="false"/>
                <w:color w:val="000000"/>
                <w:sz w:val="20"/>
                <w:szCs w:val="20"/>
              </w:rPr>
              <w:t xml:space="preserve">Tracking and Anti-Theft Requirement</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Tracking device required: No</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Basic excess applies for theft only if approved tracker fitted; otherwise additional R3,000</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Mandatory approved tracking device; 14-day grace; security system within 7 days</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 cover for stolen or hijacked vehicles over R500,000 without approved anti-theft or tracking device</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  - Conditions</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 theft or hijack cover if device absent or not activated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Tracking fields blank: confirm</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bCs/>
                <w:i w:val="false"/>
                <w:iCs w:val="false"/>
                <w:color w:val="000000"/>
                <w:sz w:val="20"/>
                <w:szCs w:val="20"/>
              </w:rPr>
              <w:t xml:space="preserve">Finance and Credit Shortfall</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Finance house Toyota Financial Services; credit shortfall not listed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Credit shortfall No (R0)</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Credit shortfall not listed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Pinnacle credit shortfall Not taken; interest noted Toyota Financial Ser</w:t>
            </w:r>
          </w:p>
        </w:tc>
      </w:tr>
    </w:tbl>
    <w:p>
      <w:pPr>
        <w:spacing w:before="160" w:after="160"/>
      </w:pPr>
      <w:r>
        <w:t xml:space="preserve"/>
      </w:r>
    </w:p>
    <w:p>
      <w:pPr>
        <w:pStyle w:val="Heading1"/>
        <w:keepNext/>
        <w:keepLines/>
        <w:pBdr>
          <w:bottom w:val="single" w:color="D3DBDD" w:sz="4" w:space="4"/>
        </w:pBdr>
        <w:spacing w:before="360" w:after="160"/>
      </w:pPr>
      <w:r>
        <w:rPr>
          <w:rFonts w:ascii="Calibri" w:cs="Calibri" w:eastAsia="Calibri" w:hAnsi="Calibri"/>
          <w:b/>
          <w:bCs/>
          <w:color w:val="000000"/>
          <w:sz w:val="36"/>
          <w:szCs w:val="36"/>
        </w:rPr>
        <w:t xml:space="preserve">9. </w:t>
      </w:r>
      <w:r>
        <w:rPr>
          <w:rFonts w:ascii="Calibri" w:cs="Calibri" w:eastAsia="Calibri" w:hAnsi="Calibri"/>
          <w:b/>
          <w:bCs/>
          <w:color w:val="000000"/>
          <w:sz w:val="36"/>
          <w:szCs w:val="36"/>
        </w:rPr>
        <w:t xml:space="preserve">Trailer</w:t>
      </w:r>
    </w:p>
    <w:p>
      <w:pPr>
        <w:keepNext/>
        <w:spacing w:before="80" w:after="80"/>
      </w:pPr>
      <w:r>
        <w:rPr>
          <w:rFonts w:ascii="Calibri" w:cs="Calibri" w:eastAsia="Calibri" w:hAnsi="Calibri"/>
          <w:i/>
          <w:iCs/>
          <w:color w:val="000000"/>
          <w:sz w:val="20"/>
          <w:szCs w:val="20"/>
        </w:rPr>
        <w:t xml:space="preserve">1 Example Road, Sandton, 2196</w:t>
      </w:r>
    </w:p>
    <w:tbl>
      <w:tblPr>
        <w:tblW w:type="pct" w:w="5000%"/>
        <w:tblBorders>
          <w:top w:val="single" w:color="D3DBDD" w:sz="4"/>
          <w:left w:val="single" w:color="D3DBDD" w:sz="4"/>
          <w:bottom w:val="single" w:color="D3DBDD" w:sz="4"/>
          <w:right w:val="single" w:color="D3DBDD" w:sz="4"/>
          <w:insideH w:val="single" w:color="D3DBDD" w:sz="4"/>
          <w:insideV w:val="single" w:color="D3DBDD" w:sz="4"/>
        </w:tblBorders>
        <w:tblLayout w:type="fixed"/>
      </w:tblPr>
      <w:tblGrid>
        <w:gridCol w:w="2907"/>
        <w:gridCol w:w="1890"/>
        <w:gridCol w:w="1890"/>
        <w:gridCol w:w="1890"/>
        <w:gridCol w:w="1889"/>
      </w:tblGrid>
      <w:tr>
        <w:trPr>
          <w:cantSplit/>
          <w:tblHeader/>
        </w:trPr>
        <w:tc>
          <w:tcPr>
            <w:tcBorders>
              <w:bottom w:val="single" w:color="2F3437" w:sz="4"/>
            </w:tcBorders>
            <w:shd w:fill="2F3437" w:color="2F3437" w:val="clear"/>
            <w:tcMar>
              <w:top w:type="dxa" w:w="144"/>
              <w:left w:type="dxa" w:w="144"/>
              <w:bottom w:type="dxa" w:w="104"/>
              <w:right w:type="dxa" w:w="144"/>
            </w:tcMar>
            <w:vAlign w:val="center"/>
          </w:tcPr>
          <w:p>
            <w:pPr>
              <w:keepNext/>
              <w:jc w:val="left"/>
            </w:pPr>
            <w:r>
              <w:rPr>
                <w:rFonts w:ascii="Calibri" w:cs="Calibri" w:eastAsia="Calibri" w:hAnsi="Calibri"/>
                <w:b/>
                <w:bCs/>
                <w:color w:val="FFFFFF"/>
                <w:spacing w:val="20"/>
                <w:sz w:val="16"/>
                <w:szCs w:val="16"/>
              </w:rPr>
              <w:t xml:space="preserve">ITEM</w:t>
            </w:r>
          </w:p>
        </w:tc>
        <w:tc>
          <w:tcPr>
            <w:tcBorders>
              <w:bottom w:val="single" w:color="2F3437" w:sz="4"/>
            </w:tcBorders>
            <w:shd w:fill="2F3437" w:color="2F3437" w:val="clear"/>
            <w:tcMar>
              <w:top w:type="dxa" w:w="144"/>
              <w:left w:type="dxa" w:w="144"/>
              <w:bottom w:type="dxa" w:w="104"/>
              <w:right w:type="dxa" w:w="144"/>
            </w:tcMar>
            <w:vAlign w:val="center"/>
          </w:tcPr>
          <w:p>
            <w:pPr>
              <w:keepNext/>
              <w:jc w:val="left"/>
            </w:pPr>
            <w:r>
              <w:rPr>
                <w:rFonts w:ascii="Calibri" w:cs="Calibri" w:eastAsia="Calibri" w:hAnsi="Calibri"/>
                <w:b/>
                <w:bCs/>
                <w:color w:val="FFFFFF"/>
                <w:spacing w:val="20"/>
                <w:sz w:val="16"/>
                <w:szCs w:val="16"/>
              </w:rPr>
              <w:t xml:space="preserve">DISCOVERY INSURE PURPLE PLAN QTE-0000001 (CURRENT POLICY)</w:t>
            </w:r>
          </w:p>
        </w:tc>
        <w:tc>
          <w:tcPr>
            <w:tcBorders>
              <w:bottom w:val="single" w:color="2F3437" w:sz="4"/>
            </w:tcBorders>
            <w:shd w:fill="2F3437" w:color="2F3437" w:val="clear"/>
            <w:tcMar>
              <w:top w:type="dxa" w:w="144"/>
              <w:left w:type="dxa" w:w="144"/>
              <w:bottom w:type="dxa" w:w="104"/>
              <w:right w:type="dxa" w:w="144"/>
            </w:tcMar>
            <w:vAlign w:val="center"/>
          </w:tcPr>
          <w:p>
            <w:pPr>
              <w:keepNext/>
              <w:jc w:val="left"/>
            </w:pPr>
            <w:r>
              <w:rPr>
                <w:rFonts w:ascii="Calibri" w:cs="Calibri" w:eastAsia="Calibri" w:hAnsi="Calibri"/>
                <w:b/>
                <w:bCs/>
                <w:color w:val="FFFFFF"/>
                <w:spacing w:val="20"/>
                <w:sz w:val="16"/>
                <w:szCs w:val="16"/>
              </w:rPr>
              <w:t xml:space="preserve">BRYTE PERSONAL POLICY QTE-0000002</w:t>
            </w:r>
          </w:p>
        </w:tc>
        <w:tc>
          <w:tcPr>
            <w:tcBorders>
              <w:bottom w:val="single" w:color="2F3437" w:sz="4"/>
            </w:tcBorders>
            <w:shd w:fill="2F3437" w:color="2F3437" w:val="clear"/>
            <w:tcMar>
              <w:top w:type="dxa" w:w="144"/>
              <w:left w:type="dxa" w:w="144"/>
              <w:bottom w:type="dxa" w:w="104"/>
              <w:right w:type="dxa" w:w="144"/>
            </w:tcMar>
            <w:vAlign w:val="center"/>
          </w:tcPr>
          <w:p>
            <w:pPr>
              <w:keepNext/>
              <w:jc w:val="left"/>
            </w:pPr>
            <w:r>
              <w:rPr>
                <w:rFonts w:ascii="Calibri" w:cs="Calibri" w:eastAsia="Calibri" w:hAnsi="Calibri"/>
                <w:b/>
                <w:bCs/>
                <w:color w:val="FFFFFF"/>
                <w:spacing w:val="20"/>
                <w:sz w:val="16"/>
                <w:szCs w:val="16"/>
              </w:rPr>
              <w:t xml:space="preserve">MUA EXECUTIVE POLICY QTE-0000003</w:t>
            </w:r>
          </w:p>
        </w:tc>
        <w:tc>
          <w:tcPr>
            <w:tcBorders>
              <w:bottom w:val="single" w:color="2F3437" w:sz="4"/>
            </w:tcBorders>
            <w:shd w:fill="2F3437" w:color="2F3437" w:val="clear"/>
            <w:tcMar>
              <w:top w:type="dxa" w:w="144"/>
              <w:left w:type="dxa" w:w="144"/>
              <w:bottom w:type="dxa" w:w="104"/>
              <w:right w:type="dxa" w:w="144"/>
            </w:tcMar>
            <w:vAlign w:val="center"/>
          </w:tcPr>
          <w:p>
            <w:pPr>
              <w:keepNext/>
              <w:jc w:val="left"/>
            </w:pPr>
            <w:r>
              <w:rPr>
                <w:rFonts w:ascii="Calibri" w:cs="Calibri" w:eastAsia="Calibri" w:hAnsi="Calibri"/>
                <w:b/>
                <w:bCs/>
                <w:color w:val="FFFFFF"/>
                <w:spacing w:val="20"/>
                <w:sz w:val="16"/>
                <w:szCs w:val="16"/>
              </w:rPr>
              <w:t xml:space="preserve">APEX PINNACLE PERSONAL QTE-0000004</w:t>
            </w:r>
          </w:p>
        </w:tc>
      </w:tr>
      <w:tr>
        <w:trPr>
          <w:cantSplit/>
        </w:trPr>
        <w:tc>
          <w:tcPr>
            <w:tcMar>
              <w:top w:type="dxa" w:w="144"/>
              <w:left w:type="dxa" w:w="144"/>
              <w:bottom w:type="dxa" w:w="104"/>
              <w:right w:type="dxa" w:w="144"/>
            </w:tcMar>
          </w:tcPr>
          <w:p>
            <w:pPr>
              <w:spacing w:before="0" w:after="40"/>
              <w:jc w:val="left"/>
            </w:pPr>
            <w:r>
              <w:rPr>
                <w:rFonts w:ascii="Calibri" w:cs="Calibri" w:eastAsia="Calibri" w:hAnsi="Calibri"/>
                <w:b/>
                <w:bCs/>
                <w:i w:val="false"/>
                <w:iCs w:val="false"/>
                <w:color w:val="000000"/>
                <w:sz w:val="20"/>
                <w:szCs w:val="20"/>
              </w:rPr>
              <w:t xml:space="preserve">Sum Insured</w:t>
            </w:r>
          </w:p>
        </w:tc>
        <w:tc>
          <w:tcPr>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R23,300.00</w:t>
            </w:r>
          </w:p>
        </w:tc>
        <w:tc>
          <w:tcPr>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R23,300</w:t>
            </w:r>
          </w:p>
        </w:tc>
        <w:tc>
          <w:tcPr>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R23,300.00</w:t>
            </w:r>
          </w:p>
        </w:tc>
        <w:tc>
          <w:tcPr>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R23,300</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bCs/>
                <w:i w:val="false"/>
                <w:iCs w:val="false"/>
                <w:color w:val="000000"/>
                <w:sz w:val="20"/>
                <w:szCs w:val="20"/>
              </w:rPr>
              <w:t xml:space="preserve">Premium</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R88.74</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R37.95 (R28.95 + windscreen R9.00)</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R45.18</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R88.74</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bCs/>
                <w:i w:val="false"/>
                <w:iCs w:val="false"/>
                <w:color w:val="000000"/>
                <w:sz w:val="20"/>
                <w:szCs w:val="20"/>
              </w:rPr>
              <w:t xml:space="preserve">Security Details</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Garage secured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Locked garage</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Trailer must be secured for theft cover</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bCs/>
                <w:i w:val="false"/>
                <w:iCs w:val="false"/>
                <w:color w:val="000000"/>
                <w:sz w:val="20"/>
                <w:szCs w:val="20"/>
              </w:rPr>
              <w:t xml:space="preserve">Basic Excess / First Amount Payable</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R750.00</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R1,000</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5% of claim min R250</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5% of claim min R1,000</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  - Conditions</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Use: private and professional</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Use: private only</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Use: private</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Use: business</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  - Policy Terms</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Voluntary R0.00</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bCs/>
                <w:i w:val="false"/>
                <w:iCs w:val="false"/>
                <w:color w:val="000000"/>
                <w:sz w:val="20"/>
                <w:szCs w:val="20"/>
              </w:rPr>
              <w:t xml:space="preserve">Theft or Hijack</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Additional excess 5% of claim</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  - Conditions</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Trailer must be secured</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bCs/>
                <w:i w:val="false"/>
                <w:iCs w:val="false"/>
                <w:color w:val="000000"/>
                <w:sz w:val="20"/>
                <w:szCs w:val="20"/>
              </w:rPr>
              <w:t xml:space="preserve">Windscreen, Locks and Keys</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Windscreen elected R9.00; windscreen excess R500; locks and keys R10,000; loss of keys R250</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bCs/>
                <w:i w:val="false"/>
                <w:iCs w:val="false"/>
                <w:color w:val="000000"/>
                <w:sz w:val="20"/>
                <w:szCs w:val="20"/>
              </w:rPr>
              <w:t xml:space="preserve">Third-Party Liability</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R2,000,000</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bCs/>
                <w:i w:val="false"/>
                <w:iCs w:val="false"/>
                <w:color w:val="000000"/>
                <w:sz w:val="20"/>
                <w:szCs w:val="20"/>
              </w:rPr>
              <w:t xml:space="preserve">Emergency Benefits</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Emergency repairs R5,000; accommodation R5,000; towing R2,000; wreckage R2,000</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r>
    </w:tbl>
    <w:p>
      <w:pPr>
        <w:spacing w:before="160" w:after="160"/>
      </w:pPr>
      <w:r>
        <w:t xml:space="preserve"/>
      </w:r>
    </w:p>
    <w:p>
      <w:pPr>
        <w:pStyle w:val="Heading1"/>
        <w:keepNext/>
        <w:keepLines/>
        <w:pBdr>
          <w:bottom w:val="single" w:color="D3DBDD" w:sz="4" w:space="4"/>
        </w:pBdr>
        <w:spacing w:before="360" w:after="160"/>
      </w:pPr>
      <w:r>
        <w:rPr>
          <w:rFonts w:ascii="Calibri" w:cs="Calibri" w:eastAsia="Calibri" w:hAnsi="Calibri"/>
          <w:b/>
          <w:bCs/>
          <w:color w:val="000000"/>
          <w:sz w:val="36"/>
          <w:szCs w:val="36"/>
        </w:rPr>
        <w:t xml:space="preserve">10. </w:t>
      </w:r>
      <w:r>
        <w:rPr>
          <w:rFonts w:ascii="Calibri" w:cs="Calibri" w:eastAsia="Calibri" w:hAnsi="Calibri"/>
          <w:b/>
          <w:bCs/>
          <w:color w:val="000000"/>
          <w:sz w:val="36"/>
          <w:szCs w:val="36"/>
        </w:rPr>
        <w:t xml:space="preserve">Watercraft</w:t>
      </w:r>
    </w:p>
    <w:p>
      <w:pPr>
        <w:keepNext/>
        <w:spacing w:before="80" w:after="80"/>
      </w:pPr>
      <w:r>
        <w:rPr>
          <w:rFonts w:ascii="Calibri" w:cs="Calibri" w:eastAsia="Calibri" w:hAnsi="Calibri"/>
          <w:i/>
          <w:iCs/>
          <w:color w:val="000000"/>
          <w:sz w:val="20"/>
          <w:szCs w:val="20"/>
        </w:rPr>
        <w:t xml:space="preserve">1 Example Road, Sandton, 2196</w:t>
      </w:r>
    </w:p>
    <w:tbl>
      <w:tblPr>
        <w:tblW w:type="pct" w:w="5000%"/>
        <w:tblBorders>
          <w:top w:val="single" w:color="D3DBDD" w:sz="4"/>
          <w:left w:val="single" w:color="D3DBDD" w:sz="4"/>
          <w:bottom w:val="single" w:color="D3DBDD" w:sz="4"/>
          <w:right w:val="single" w:color="D3DBDD" w:sz="4"/>
          <w:insideH w:val="single" w:color="D3DBDD" w:sz="4"/>
          <w:insideV w:val="single" w:color="D3DBDD" w:sz="4"/>
        </w:tblBorders>
        <w:tblLayout w:type="fixed"/>
      </w:tblPr>
      <w:tblGrid>
        <w:gridCol w:w="2907"/>
        <w:gridCol w:w="1890"/>
        <w:gridCol w:w="1890"/>
        <w:gridCol w:w="1890"/>
        <w:gridCol w:w="1889"/>
      </w:tblGrid>
      <w:tr>
        <w:trPr>
          <w:cantSplit/>
          <w:tblHeader/>
        </w:trPr>
        <w:tc>
          <w:tcPr>
            <w:tcBorders>
              <w:bottom w:val="single" w:color="2F3437" w:sz="4"/>
            </w:tcBorders>
            <w:shd w:fill="2F3437" w:color="2F3437" w:val="clear"/>
            <w:tcMar>
              <w:top w:type="dxa" w:w="144"/>
              <w:left w:type="dxa" w:w="144"/>
              <w:bottom w:type="dxa" w:w="104"/>
              <w:right w:type="dxa" w:w="144"/>
            </w:tcMar>
            <w:vAlign w:val="center"/>
          </w:tcPr>
          <w:p>
            <w:pPr>
              <w:keepNext/>
              <w:jc w:val="left"/>
            </w:pPr>
            <w:r>
              <w:rPr>
                <w:rFonts w:ascii="Calibri" w:cs="Calibri" w:eastAsia="Calibri" w:hAnsi="Calibri"/>
                <w:b/>
                <w:bCs/>
                <w:color w:val="FFFFFF"/>
                <w:spacing w:val="20"/>
                <w:sz w:val="16"/>
                <w:szCs w:val="16"/>
              </w:rPr>
              <w:t xml:space="preserve">ITEM</w:t>
            </w:r>
          </w:p>
        </w:tc>
        <w:tc>
          <w:tcPr>
            <w:tcBorders>
              <w:bottom w:val="single" w:color="2F3437" w:sz="4"/>
            </w:tcBorders>
            <w:shd w:fill="2F3437" w:color="2F3437" w:val="clear"/>
            <w:tcMar>
              <w:top w:type="dxa" w:w="144"/>
              <w:left w:type="dxa" w:w="144"/>
              <w:bottom w:type="dxa" w:w="104"/>
              <w:right w:type="dxa" w:w="144"/>
            </w:tcMar>
            <w:vAlign w:val="center"/>
          </w:tcPr>
          <w:p>
            <w:pPr>
              <w:keepNext/>
              <w:jc w:val="left"/>
            </w:pPr>
            <w:r>
              <w:rPr>
                <w:rFonts w:ascii="Calibri" w:cs="Calibri" w:eastAsia="Calibri" w:hAnsi="Calibri"/>
                <w:b/>
                <w:bCs/>
                <w:color w:val="FFFFFF"/>
                <w:spacing w:val="20"/>
                <w:sz w:val="16"/>
                <w:szCs w:val="16"/>
              </w:rPr>
              <w:t xml:space="preserve">DISCOVERY INSURE PURPLE PLAN QTE-0000001 (CURRENT POLICY)</w:t>
            </w:r>
          </w:p>
        </w:tc>
        <w:tc>
          <w:tcPr>
            <w:tcBorders>
              <w:bottom w:val="single" w:color="2F3437" w:sz="4"/>
            </w:tcBorders>
            <w:shd w:fill="2F3437" w:color="2F3437" w:val="clear"/>
            <w:tcMar>
              <w:top w:type="dxa" w:w="144"/>
              <w:left w:type="dxa" w:w="144"/>
              <w:bottom w:type="dxa" w:w="104"/>
              <w:right w:type="dxa" w:w="144"/>
            </w:tcMar>
            <w:vAlign w:val="center"/>
          </w:tcPr>
          <w:p>
            <w:pPr>
              <w:keepNext/>
              <w:jc w:val="left"/>
            </w:pPr>
            <w:r>
              <w:rPr>
                <w:rFonts w:ascii="Calibri" w:cs="Calibri" w:eastAsia="Calibri" w:hAnsi="Calibri"/>
                <w:b/>
                <w:bCs/>
                <w:color w:val="FFFFFF"/>
                <w:spacing w:val="20"/>
                <w:sz w:val="16"/>
                <w:szCs w:val="16"/>
              </w:rPr>
              <w:t xml:space="preserve">BRYTE PERSONAL POLICY QTE-0000002</w:t>
            </w:r>
          </w:p>
        </w:tc>
        <w:tc>
          <w:tcPr>
            <w:tcBorders>
              <w:bottom w:val="single" w:color="2F3437" w:sz="4"/>
            </w:tcBorders>
            <w:shd w:fill="2F3437" w:color="2F3437" w:val="clear"/>
            <w:tcMar>
              <w:top w:type="dxa" w:w="144"/>
              <w:left w:type="dxa" w:w="144"/>
              <w:bottom w:type="dxa" w:w="104"/>
              <w:right w:type="dxa" w:w="144"/>
            </w:tcMar>
            <w:vAlign w:val="center"/>
          </w:tcPr>
          <w:p>
            <w:pPr>
              <w:keepNext/>
              <w:jc w:val="left"/>
            </w:pPr>
            <w:r>
              <w:rPr>
                <w:rFonts w:ascii="Calibri" w:cs="Calibri" w:eastAsia="Calibri" w:hAnsi="Calibri"/>
                <w:b/>
                <w:bCs/>
                <w:color w:val="FFFFFF"/>
                <w:spacing w:val="20"/>
                <w:sz w:val="16"/>
                <w:szCs w:val="16"/>
              </w:rPr>
              <w:t xml:space="preserve">MUA EXECUTIVE POLICY QTE-0000003</w:t>
            </w:r>
          </w:p>
        </w:tc>
        <w:tc>
          <w:tcPr>
            <w:tcBorders>
              <w:bottom w:val="single" w:color="2F3437" w:sz="4"/>
            </w:tcBorders>
            <w:shd w:fill="2F3437" w:color="2F3437" w:val="clear"/>
            <w:tcMar>
              <w:top w:type="dxa" w:w="144"/>
              <w:left w:type="dxa" w:w="144"/>
              <w:bottom w:type="dxa" w:w="104"/>
              <w:right w:type="dxa" w:w="144"/>
            </w:tcMar>
            <w:vAlign w:val="center"/>
          </w:tcPr>
          <w:p>
            <w:pPr>
              <w:keepNext/>
              <w:jc w:val="left"/>
            </w:pPr>
            <w:r>
              <w:rPr>
                <w:rFonts w:ascii="Calibri" w:cs="Calibri" w:eastAsia="Calibri" w:hAnsi="Calibri"/>
                <w:b/>
                <w:bCs/>
                <w:color w:val="FFFFFF"/>
                <w:spacing w:val="20"/>
                <w:sz w:val="16"/>
                <w:szCs w:val="16"/>
              </w:rPr>
              <w:t xml:space="preserve">APEX PINNACLE PERSONAL QTE-0000004</w:t>
            </w:r>
          </w:p>
        </w:tc>
      </w:tr>
      <w:tr>
        <w:trPr>
          <w:cantSplit/>
        </w:trPr>
        <w:tc>
          <w:tcPr>
            <w:tcMar>
              <w:top w:type="dxa" w:w="144"/>
              <w:left w:type="dxa" w:w="144"/>
              <w:bottom w:type="dxa" w:w="104"/>
              <w:right w:type="dxa" w:w="144"/>
            </w:tcMar>
          </w:tcPr>
          <w:p>
            <w:pPr>
              <w:spacing w:before="0" w:after="40"/>
              <w:jc w:val="left"/>
            </w:pPr>
            <w:r>
              <w:rPr>
                <w:rFonts w:ascii="Calibri" w:cs="Calibri" w:eastAsia="Calibri" w:hAnsi="Calibri"/>
                <w:b/>
                <w:bCs/>
                <w:i w:val="false"/>
                <w:iCs w:val="false"/>
                <w:color w:val="000000"/>
                <w:sz w:val="20"/>
                <w:szCs w:val="20"/>
              </w:rPr>
              <w:t xml:space="preserve">Sum Insured</w:t>
            </w:r>
          </w:p>
        </w:tc>
        <w:tc>
          <w:tcPr>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R116,500.00 (hull R64,700.00; motor R51,800.00)</w:t>
            </w:r>
          </w:p>
        </w:tc>
        <w:tc>
          <w:tcPr>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R116,500 (hull R64,700; motors R51,800)</w:t>
            </w:r>
          </w:p>
        </w:tc>
        <w:tc>
          <w:tcPr>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R116,500.00</w:t>
            </w:r>
          </w:p>
        </w:tc>
        <w:tc>
          <w:tcPr>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R116,500</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bCs/>
                <w:i w:val="false"/>
                <w:iCs w:val="false"/>
                <w:color w:val="000000"/>
                <w:sz w:val="20"/>
                <w:szCs w:val="20"/>
              </w:rPr>
              <w:t xml:space="preserve">Premium</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R289.63</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R463.85</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R238.34</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R289.63</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bCs/>
                <w:i w:val="false"/>
                <w:iCs w:val="false"/>
                <w:color w:val="000000"/>
                <w:sz w:val="20"/>
                <w:szCs w:val="20"/>
              </w:rPr>
              <w:t xml:space="preserve">Security Details</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Storage: enclosure locked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Trailer must be secured</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bCs/>
                <w:i w:val="false"/>
                <w:iCs w:val="false"/>
                <w:color w:val="000000"/>
                <w:sz w:val="20"/>
                <w:szCs w:val="20"/>
              </w:rPr>
              <w:t xml:space="preserve">Basic Excess / First Amount Payable</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R3,000.00</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R1,500 (motorboats, including submerged objects cover)</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5% of claim min R2,500</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10% of claim min R2,500</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  - Conditions</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Nil if insured or spouse 55 or older using the craft</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  - Policy Terms</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Voluntary R0.00</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bCs/>
                <w:i w:val="false"/>
                <w:iCs w:val="false"/>
                <w:color w:val="000000"/>
                <w:sz w:val="20"/>
                <w:szCs w:val="20"/>
              </w:rPr>
              <w:t xml:space="preserve">Liability</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Passenger additional sum insured R1,000,000</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R1,000,000 per claim or event</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bCs/>
                <w:i w:val="false"/>
                <w:iCs w:val="false"/>
                <w:color w:val="000000"/>
                <w:sz w:val="20"/>
                <w:szCs w:val="20"/>
              </w:rPr>
              <w:t xml:space="preserve">Medical Expenses</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R10,000 per occupant max R50,000</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R2,000 per person max R10,000 per event</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bCs/>
                <w:i w:val="false"/>
                <w:iCs w:val="false"/>
                <w:color w:val="000000"/>
                <w:sz w:val="20"/>
                <w:szCs w:val="20"/>
              </w:rPr>
              <w:t xml:space="preserve">Theft and Security</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Enclosure locked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Trailer must be secured for theft of trailer or craft</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bCs/>
                <w:i w:val="false"/>
                <w:iCs w:val="false"/>
                <w:color w:val="000000"/>
                <w:sz w:val="20"/>
                <w:szCs w:val="20"/>
              </w:rPr>
              <w:t xml:space="preserve">Craft Type and Place of Use</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Ski boat, inland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Ski boat, inland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Ski boat</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Ski boat, inland</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  - Conditions</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Private use only</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r>
    </w:tbl>
    <w:p>
      <w:pPr>
        <w:spacing w:before="160" w:after="160"/>
      </w:pPr>
      <w:r>
        <w:t xml:space="preserve"/>
      </w:r>
    </w:p>
    <w:p>
      <w:pPr>
        <w:pStyle w:val="Heading1"/>
        <w:keepNext/>
        <w:keepLines/>
        <w:pBdr>
          <w:bottom w:val="single" w:color="D3DBDD" w:sz="4" w:space="4"/>
        </w:pBdr>
        <w:spacing w:before="360" w:after="160"/>
      </w:pPr>
      <w:r>
        <w:rPr>
          <w:rFonts w:ascii="Calibri" w:cs="Calibri" w:eastAsia="Calibri" w:hAnsi="Calibri"/>
          <w:b/>
          <w:bCs/>
          <w:color w:val="000000"/>
          <w:sz w:val="36"/>
          <w:szCs w:val="36"/>
        </w:rPr>
        <w:t xml:space="preserve">11. </w:t>
      </w:r>
      <w:r>
        <w:rPr>
          <w:rFonts w:ascii="Calibri" w:cs="Calibri" w:eastAsia="Calibri" w:hAnsi="Calibri"/>
          <w:b/>
          <w:bCs/>
          <w:color w:val="000000"/>
          <w:sz w:val="36"/>
          <w:szCs w:val="36"/>
        </w:rPr>
        <w:t xml:space="preserve">Personal liability</w:t>
      </w:r>
    </w:p>
    <w:tbl>
      <w:tblPr>
        <w:tblW w:type="pct" w:w="5000%"/>
        <w:tblBorders>
          <w:top w:val="single" w:color="D3DBDD" w:sz="4"/>
          <w:left w:val="single" w:color="D3DBDD" w:sz="4"/>
          <w:bottom w:val="single" w:color="D3DBDD" w:sz="4"/>
          <w:right w:val="single" w:color="D3DBDD" w:sz="4"/>
          <w:insideH w:val="single" w:color="D3DBDD" w:sz="4"/>
          <w:insideV w:val="single" w:color="D3DBDD" w:sz="4"/>
        </w:tblBorders>
        <w:tblLayout w:type="fixed"/>
      </w:tblPr>
      <w:tblGrid>
        <w:gridCol w:w="2907"/>
        <w:gridCol w:w="1890"/>
        <w:gridCol w:w="1890"/>
        <w:gridCol w:w="1890"/>
        <w:gridCol w:w="1889"/>
      </w:tblGrid>
      <w:tr>
        <w:trPr>
          <w:cantSplit/>
          <w:tblHeader/>
        </w:trPr>
        <w:tc>
          <w:tcPr>
            <w:tcBorders>
              <w:bottom w:val="single" w:color="2F3437" w:sz="4"/>
            </w:tcBorders>
            <w:shd w:fill="2F3437" w:color="2F3437" w:val="clear"/>
            <w:tcMar>
              <w:top w:type="dxa" w:w="144"/>
              <w:left w:type="dxa" w:w="144"/>
              <w:bottom w:type="dxa" w:w="104"/>
              <w:right w:type="dxa" w:w="144"/>
            </w:tcMar>
            <w:vAlign w:val="center"/>
          </w:tcPr>
          <w:p>
            <w:pPr>
              <w:keepNext/>
              <w:jc w:val="left"/>
            </w:pPr>
            <w:r>
              <w:rPr>
                <w:rFonts w:ascii="Calibri" w:cs="Calibri" w:eastAsia="Calibri" w:hAnsi="Calibri"/>
                <w:b/>
                <w:bCs/>
                <w:color w:val="FFFFFF"/>
                <w:spacing w:val="20"/>
                <w:sz w:val="16"/>
                <w:szCs w:val="16"/>
              </w:rPr>
              <w:t xml:space="preserve">ITEM</w:t>
            </w:r>
          </w:p>
        </w:tc>
        <w:tc>
          <w:tcPr>
            <w:tcBorders>
              <w:bottom w:val="single" w:color="2F3437" w:sz="4"/>
            </w:tcBorders>
            <w:shd w:fill="2F3437" w:color="2F3437" w:val="clear"/>
            <w:tcMar>
              <w:top w:type="dxa" w:w="144"/>
              <w:left w:type="dxa" w:w="144"/>
              <w:bottom w:type="dxa" w:w="104"/>
              <w:right w:type="dxa" w:w="144"/>
            </w:tcMar>
            <w:vAlign w:val="center"/>
          </w:tcPr>
          <w:p>
            <w:pPr>
              <w:keepNext/>
              <w:jc w:val="left"/>
            </w:pPr>
            <w:r>
              <w:rPr>
                <w:rFonts w:ascii="Calibri" w:cs="Calibri" w:eastAsia="Calibri" w:hAnsi="Calibri"/>
                <w:b/>
                <w:bCs/>
                <w:color w:val="FFFFFF"/>
                <w:spacing w:val="20"/>
                <w:sz w:val="16"/>
                <w:szCs w:val="16"/>
              </w:rPr>
              <w:t xml:space="preserve">DISCOVERY INSURE PURPLE PLAN QTE-0000001 (CURRENT POLICY)</w:t>
            </w:r>
          </w:p>
        </w:tc>
        <w:tc>
          <w:tcPr>
            <w:tcBorders>
              <w:bottom w:val="single" w:color="2F3437" w:sz="4"/>
            </w:tcBorders>
            <w:shd w:fill="2F3437" w:color="2F3437" w:val="clear"/>
            <w:tcMar>
              <w:top w:type="dxa" w:w="144"/>
              <w:left w:type="dxa" w:w="144"/>
              <w:bottom w:type="dxa" w:w="104"/>
              <w:right w:type="dxa" w:w="144"/>
            </w:tcMar>
            <w:vAlign w:val="center"/>
          </w:tcPr>
          <w:p>
            <w:pPr>
              <w:keepNext/>
              <w:jc w:val="left"/>
            </w:pPr>
            <w:r>
              <w:rPr>
                <w:rFonts w:ascii="Calibri" w:cs="Calibri" w:eastAsia="Calibri" w:hAnsi="Calibri"/>
                <w:b/>
                <w:bCs/>
                <w:color w:val="FFFFFF"/>
                <w:spacing w:val="20"/>
                <w:sz w:val="16"/>
                <w:szCs w:val="16"/>
              </w:rPr>
              <w:t xml:space="preserve">BRYTE PERSONAL POLICY QTE-0000002</w:t>
            </w:r>
          </w:p>
        </w:tc>
        <w:tc>
          <w:tcPr>
            <w:tcBorders>
              <w:bottom w:val="single" w:color="2F3437" w:sz="4"/>
            </w:tcBorders>
            <w:shd w:fill="2F3437" w:color="2F3437" w:val="clear"/>
            <w:tcMar>
              <w:top w:type="dxa" w:w="144"/>
              <w:left w:type="dxa" w:w="144"/>
              <w:bottom w:type="dxa" w:w="104"/>
              <w:right w:type="dxa" w:w="144"/>
            </w:tcMar>
            <w:vAlign w:val="center"/>
          </w:tcPr>
          <w:p>
            <w:pPr>
              <w:keepNext/>
              <w:jc w:val="left"/>
            </w:pPr>
            <w:r>
              <w:rPr>
                <w:rFonts w:ascii="Calibri" w:cs="Calibri" w:eastAsia="Calibri" w:hAnsi="Calibri"/>
                <w:b/>
                <w:bCs/>
                <w:color w:val="FFFFFF"/>
                <w:spacing w:val="20"/>
                <w:sz w:val="16"/>
                <w:szCs w:val="16"/>
              </w:rPr>
              <w:t xml:space="preserve">MUA EXECUTIVE POLICY QTE-0000003</w:t>
            </w:r>
          </w:p>
        </w:tc>
        <w:tc>
          <w:tcPr>
            <w:tcBorders>
              <w:bottom w:val="single" w:color="2F3437" w:sz="4"/>
            </w:tcBorders>
            <w:shd w:fill="2F3437" w:color="2F3437" w:val="clear"/>
            <w:tcMar>
              <w:top w:type="dxa" w:w="144"/>
              <w:left w:type="dxa" w:w="144"/>
              <w:bottom w:type="dxa" w:w="104"/>
              <w:right w:type="dxa" w:w="144"/>
            </w:tcMar>
            <w:vAlign w:val="center"/>
          </w:tcPr>
          <w:p>
            <w:pPr>
              <w:keepNext/>
              <w:jc w:val="left"/>
            </w:pPr>
            <w:r>
              <w:rPr>
                <w:rFonts w:ascii="Calibri" w:cs="Calibri" w:eastAsia="Calibri" w:hAnsi="Calibri"/>
                <w:b/>
                <w:bCs/>
                <w:color w:val="FFFFFF"/>
                <w:spacing w:val="20"/>
                <w:sz w:val="16"/>
                <w:szCs w:val="16"/>
              </w:rPr>
              <w:t xml:space="preserve">APEX PINNACLE PERSONAL QTE-0000004</w:t>
            </w:r>
          </w:p>
        </w:tc>
      </w:tr>
      <w:tr>
        <w:trPr>
          <w:cantSplit/>
        </w:trPr>
        <w:tc>
          <w:tcPr>
            <w:tcMar>
              <w:top w:type="dxa" w:w="144"/>
              <w:left w:type="dxa" w:w="144"/>
              <w:bottom w:type="dxa" w:w="104"/>
              <w:right w:type="dxa" w:w="144"/>
            </w:tcMar>
          </w:tcPr>
          <w:p>
            <w:pPr>
              <w:spacing w:before="0" w:after="40"/>
              <w:jc w:val="left"/>
            </w:pPr>
            <w:r>
              <w:rPr>
                <w:rFonts w:ascii="Calibri" w:cs="Calibri" w:eastAsia="Calibri" w:hAnsi="Calibri"/>
                <w:b/>
                <w:bCs/>
                <w:i w:val="false"/>
                <w:iCs w:val="false"/>
                <w:color w:val="000000"/>
                <w:sz w:val="20"/>
                <w:szCs w:val="20"/>
              </w:rPr>
              <w:t xml:space="preserve">Sum Insured</w:t>
            </w:r>
          </w:p>
        </w:tc>
        <w:tc>
          <w:tcPr>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R50,000,000.00</w:t>
            </w:r>
          </w:p>
        </w:tc>
        <w:tc>
          <w:tcPr>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R2,500,000 personal legal responsibility + R10,000,000 extended</w:t>
            </w:r>
          </w:p>
        </w:tc>
        <w:tc>
          <w:tcPr>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R30,000,000.00</w:t>
            </w:r>
          </w:p>
        </w:tc>
        <w:tc>
          <w:tcPr>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R1,000,000 personal legal liability; extended R40,000,000 per summary</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bCs/>
                <w:i w:val="false"/>
                <w:iCs w:val="false"/>
                <w:color w:val="000000"/>
                <w:sz w:val="20"/>
                <w:szCs w:val="20"/>
              </w:rPr>
              <w:t xml:space="preserve">Premium</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R50.00</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R2.43 + R5.39</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R10.00</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R5.00 + R30.00</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bCs/>
                <w:i w:val="false"/>
                <w:iCs w:val="false"/>
                <w:color w:val="000000"/>
                <w:sz w:val="20"/>
                <w:szCs w:val="20"/>
              </w:rPr>
              <w:t xml:space="preserve">Security Details</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bCs/>
                <w:i w:val="false"/>
                <w:iCs w:val="false"/>
                <w:color w:val="000000"/>
                <w:sz w:val="20"/>
                <w:szCs w:val="20"/>
              </w:rPr>
              <w:t xml:space="preserve">Liability Limit</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R50,000,000.00</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R2,500,000 plus R10,000,000 extended top-up</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R30,000,000.00</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R1,000,000; extended shown as R40,000,000 in summary</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  - Conditions</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Plot, farm or small holding endorsement excludes spread of fire and straying animals</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Schedule detail shows 2 x R20,000,000 and an endorsement cites R10,000,000: confirm</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bCs/>
                <w:i w:val="false"/>
                <w:iCs w:val="false"/>
                <w:color w:val="000000"/>
                <w:sz w:val="20"/>
                <w:szCs w:val="20"/>
              </w:rPr>
              <w:t xml:space="preserve">Wrongful Arrest and Identity Fraud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Wrongful arrest R100,000; identity fraud R10,000</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bCs/>
                <w:i w:val="false"/>
                <w:iCs w:val="false"/>
                <w:color w:val="000000"/>
                <w:sz w:val="20"/>
                <w:szCs w:val="20"/>
              </w:rPr>
              <w:t xml:space="preserve">Hole-in-One and Full House Bowls</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Hole-in-one R7,500; full house bowls R5,000</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Included; sub-limit not stated in schedule</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bCs/>
                <w:i w:val="false"/>
                <w:iCs w:val="false"/>
                <w:color w:val="000000"/>
                <w:sz w:val="20"/>
                <w:szCs w:val="20"/>
              </w:rPr>
              <w:t xml:space="preserve">Business from Home</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Business use No</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Business from home No</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bCs/>
                <w:i w:val="false"/>
                <w:iCs w:val="false"/>
                <w:color w:val="000000"/>
                <w:sz w:val="20"/>
                <w:szCs w:val="20"/>
              </w:rPr>
              <w:t xml:space="preserve">Basis of Cover</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Claims made basis; insured and all permanent residents at risk address</w:t>
            </w:r>
          </w:p>
        </w:tc>
      </w:tr>
    </w:tbl>
    <w:p>
      <w:pPr>
        <w:spacing w:before="160" w:after="160"/>
      </w:pPr>
      <w:r>
        <w:t xml:space="preserve"/>
      </w:r>
    </w:p>
    <w:p>
      <w:pPr>
        <w:pStyle w:val="Heading1"/>
        <w:keepNext/>
        <w:keepLines/>
        <w:pBdr>
          <w:bottom w:val="single" w:color="D3DBDD" w:sz="4" w:space="4"/>
        </w:pBdr>
        <w:spacing w:before="360" w:after="160"/>
      </w:pPr>
      <w:r>
        <w:rPr>
          <w:rFonts w:ascii="Calibri" w:cs="Calibri" w:eastAsia="Calibri" w:hAnsi="Calibri"/>
          <w:b/>
          <w:bCs/>
          <w:color w:val="000000"/>
          <w:sz w:val="36"/>
          <w:szCs w:val="36"/>
        </w:rPr>
        <w:t xml:space="preserve">12. </w:t>
      </w:r>
      <w:r>
        <w:rPr>
          <w:rFonts w:ascii="Calibri" w:cs="Calibri" w:eastAsia="Calibri" w:hAnsi="Calibri"/>
          <w:b/>
          <w:bCs/>
          <w:color w:val="000000"/>
          <w:sz w:val="36"/>
          <w:szCs w:val="36"/>
        </w:rPr>
        <w:t xml:space="preserve">Subsidence and landslip partial cover</w:t>
      </w:r>
    </w:p>
    <w:tbl>
      <w:tblPr>
        <w:tblW w:type="pct" w:w="5000%"/>
        <w:tblBorders>
          <w:top w:val="single" w:color="D3DBDD" w:sz="4"/>
          <w:left w:val="single" w:color="D3DBDD" w:sz="4"/>
          <w:bottom w:val="single" w:color="D3DBDD" w:sz="4"/>
          <w:right w:val="single" w:color="D3DBDD" w:sz="4"/>
          <w:insideH w:val="single" w:color="D3DBDD" w:sz="4"/>
          <w:insideV w:val="single" w:color="D3DBDD" w:sz="4"/>
        </w:tblBorders>
        <w:tblLayout w:type="fixed"/>
      </w:tblPr>
      <w:tblGrid>
        <w:gridCol w:w="2907"/>
        <w:gridCol w:w="1890"/>
        <w:gridCol w:w="1890"/>
        <w:gridCol w:w="1890"/>
        <w:gridCol w:w="1889"/>
      </w:tblGrid>
      <w:tr>
        <w:trPr>
          <w:cantSplit/>
          <w:tblHeader/>
        </w:trPr>
        <w:tc>
          <w:tcPr>
            <w:tcBorders>
              <w:bottom w:val="single" w:color="2F3437" w:sz="4"/>
            </w:tcBorders>
            <w:shd w:fill="2F3437" w:color="2F3437" w:val="clear"/>
            <w:tcMar>
              <w:top w:type="dxa" w:w="144"/>
              <w:left w:type="dxa" w:w="144"/>
              <w:bottom w:type="dxa" w:w="104"/>
              <w:right w:type="dxa" w:w="144"/>
            </w:tcMar>
            <w:vAlign w:val="center"/>
          </w:tcPr>
          <w:p>
            <w:pPr>
              <w:keepNext/>
              <w:jc w:val="left"/>
            </w:pPr>
            <w:r>
              <w:rPr>
                <w:rFonts w:ascii="Calibri" w:cs="Calibri" w:eastAsia="Calibri" w:hAnsi="Calibri"/>
                <w:b/>
                <w:bCs/>
                <w:color w:val="FFFFFF"/>
                <w:spacing w:val="20"/>
                <w:sz w:val="16"/>
                <w:szCs w:val="16"/>
              </w:rPr>
              <w:t xml:space="preserve">ITEM</w:t>
            </w:r>
          </w:p>
        </w:tc>
        <w:tc>
          <w:tcPr>
            <w:tcBorders>
              <w:bottom w:val="single" w:color="2F3437" w:sz="4"/>
            </w:tcBorders>
            <w:shd w:fill="2F3437" w:color="2F3437" w:val="clear"/>
            <w:tcMar>
              <w:top w:type="dxa" w:w="144"/>
              <w:left w:type="dxa" w:w="144"/>
              <w:bottom w:type="dxa" w:w="104"/>
              <w:right w:type="dxa" w:w="144"/>
            </w:tcMar>
            <w:vAlign w:val="center"/>
          </w:tcPr>
          <w:p>
            <w:pPr>
              <w:keepNext/>
              <w:jc w:val="left"/>
            </w:pPr>
            <w:r>
              <w:rPr>
                <w:rFonts w:ascii="Calibri" w:cs="Calibri" w:eastAsia="Calibri" w:hAnsi="Calibri"/>
                <w:b/>
                <w:bCs/>
                <w:color w:val="FFFFFF"/>
                <w:spacing w:val="20"/>
                <w:sz w:val="16"/>
                <w:szCs w:val="16"/>
              </w:rPr>
              <w:t xml:space="preserve">DISCOVERY INSURE PURPLE PLAN QTE-0000001 (CURRENT POLICY)</w:t>
            </w:r>
          </w:p>
        </w:tc>
        <w:tc>
          <w:tcPr>
            <w:tcBorders>
              <w:bottom w:val="single" w:color="2F3437" w:sz="4"/>
            </w:tcBorders>
            <w:shd w:fill="2F3437" w:color="2F3437" w:val="clear"/>
            <w:tcMar>
              <w:top w:type="dxa" w:w="144"/>
              <w:left w:type="dxa" w:w="144"/>
              <w:bottom w:type="dxa" w:w="104"/>
              <w:right w:type="dxa" w:w="144"/>
            </w:tcMar>
            <w:vAlign w:val="center"/>
          </w:tcPr>
          <w:p>
            <w:pPr>
              <w:keepNext/>
              <w:jc w:val="left"/>
            </w:pPr>
            <w:r>
              <w:rPr>
                <w:rFonts w:ascii="Calibri" w:cs="Calibri" w:eastAsia="Calibri" w:hAnsi="Calibri"/>
                <w:b/>
                <w:bCs/>
                <w:color w:val="FFFFFF"/>
                <w:spacing w:val="20"/>
                <w:sz w:val="16"/>
                <w:szCs w:val="16"/>
              </w:rPr>
              <w:t xml:space="preserve">BRYTE PERSONAL POLICY QTE-0000002</w:t>
            </w:r>
          </w:p>
        </w:tc>
        <w:tc>
          <w:tcPr>
            <w:tcBorders>
              <w:bottom w:val="single" w:color="2F3437" w:sz="4"/>
            </w:tcBorders>
            <w:shd w:fill="2F3437" w:color="2F3437" w:val="clear"/>
            <w:tcMar>
              <w:top w:type="dxa" w:w="144"/>
              <w:left w:type="dxa" w:w="144"/>
              <w:bottom w:type="dxa" w:w="104"/>
              <w:right w:type="dxa" w:w="144"/>
            </w:tcMar>
            <w:vAlign w:val="center"/>
          </w:tcPr>
          <w:p>
            <w:pPr>
              <w:keepNext/>
              <w:jc w:val="left"/>
            </w:pPr>
            <w:r>
              <w:rPr>
                <w:rFonts w:ascii="Calibri" w:cs="Calibri" w:eastAsia="Calibri" w:hAnsi="Calibri"/>
                <w:b/>
                <w:bCs/>
                <w:color w:val="FFFFFF"/>
                <w:spacing w:val="20"/>
                <w:sz w:val="16"/>
                <w:szCs w:val="16"/>
              </w:rPr>
              <w:t xml:space="preserve">MUA EXECUTIVE POLICY QTE-0000003</w:t>
            </w:r>
          </w:p>
        </w:tc>
        <w:tc>
          <w:tcPr>
            <w:tcBorders>
              <w:bottom w:val="single" w:color="2F3437" w:sz="4"/>
            </w:tcBorders>
            <w:shd w:fill="2F3437" w:color="2F3437" w:val="clear"/>
            <w:tcMar>
              <w:top w:type="dxa" w:w="144"/>
              <w:left w:type="dxa" w:w="144"/>
              <w:bottom w:type="dxa" w:w="104"/>
              <w:right w:type="dxa" w:w="144"/>
            </w:tcMar>
            <w:vAlign w:val="center"/>
          </w:tcPr>
          <w:p>
            <w:pPr>
              <w:keepNext/>
              <w:jc w:val="left"/>
            </w:pPr>
            <w:r>
              <w:rPr>
                <w:rFonts w:ascii="Calibri" w:cs="Calibri" w:eastAsia="Calibri" w:hAnsi="Calibri"/>
                <w:b/>
                <w:bCs/>
                <w:color w:val="FFFFFF"/>
                <w:spacing w:val="20"/>
                <w:sz w:val="16"/>
                <w:szCs w:val="16"/>
              </w:rPr>
              <w:t xml:space="preserve">APEX PINNACLE PERSONAL QTE-0000004</w:t>
            </w:r>
          </w:p>
        </w:tc>
      </w:tr>
      <w:tr>
        <w:trPr>
          <w:cantSplit/>
        </w:trPr>
        <w:tc>
          <w:tcPr>
            <w:tcMar>
              <w:top w:type="dxa" w:w="144"/>
              <w:left w:type="dxa" w:w="144"/>
              <w:bottom w:type="dxa" w:w="104"/>
              <w:right w:type="dxa" w:w="144"/>
            </w:tcMar>
          </w:tcPr>
          <w:p>
            <w:pPr>
              <w:spacing w:before="0" w:after="40"/>
              <w:jc w:val="left"/>
            </w:pPr>
            <w:r>
              <w:rPr>
                <w:rFonts w:ascii="Calibri" w:cs="Calibri" w:eastAsia="Calibri" w:hAnsi="Calibri"/>
                <w:b/>
                <w:bCs/>
                <w:i w:val="false"/>
                <w:iCs w:val="false"/>
                <w:color w:val="000000"/>
                <w:sz w:val="20"/>
                <w:szCs w:val="20"/>
              </w:rPr>
              <w:t xml:space="preserve">Sum Insured</w:t>
            </w:r>
          </w:p>
        </w:tc>
        <w:tc>
          <w:tcPr>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Included up to sum insured (Buildings)</w:t>
            </w:r>
          </w:p>
        </w:tc>
        <w:tc>
          <w:tcPr>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Up to sum insured (Buildings)</w:t>
            </w:r>
          </w:p>
        </w:tc>
        <w:tc>
          <w:tcPr>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covered</w:t>
            </w:r>
          </w:p>
        </w:tc>
        <w:tc>
          <w:tcPr>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Included (Buildings and Contents)</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bCs/>
                <w:i w:val="false"/>
                <w:iCs w:val="false"/>
                <w:color w:val="000000"/>
                <w:sz w:val="20"/>
                <w:szCs w:val="20"/>
              </w:rPr>
              <w:t xml:space="preserve">Premium</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R0.00 (included in Buildings premium R1,624.84)</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 (within Buildings premium R1,431.03)</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covered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 (within Buildings premium R1,624.68)</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bCs/>
                <w:i w:val="false"/>
                <w:iCs w:val="false"/>
                <w:color w:val="000000"/>
                <w:sz w:val="20"/>
                <w:szCs w:val="20"/>
              </w:rPr>
              <w:t xml:space="preserve">Security Details</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bCs/>
                <w:i w:val="false"/>
                <w:iCs w:val="false"/>
                <w:color w:val="000000"/>
                <w:sz w:val="20"/>
                <w:szCs w:val="20"/>
              </w:rPr>
              <w:t xml:space="preserve">Limited subsidence and landslip cover</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Yes, included with power surge, up to sum insured at R0.00</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Yes, 'Subsidence and landslip partial cover: Yes', limit up to sum insured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 Subsidence and Landslip benefit shown as N/A, Selected: No</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Yes, 'Subsidence and landslip (Limited cover): Yes' on Buildings; 'Included' on Contents</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  - Conditions</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Optional extended cover is not selected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bCs/>
                <w:i w:val="false"/>
                <w:iCs w:val="false"/>
                <w:color w:val="000000"/>
                <w:sz w:val="20"/>
                <w:szCs w:val="20"/>
              </w:rPr>
              <w:t xml:space="preserve">Excess</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Buildings basic excess R1,000 (no separate subsidence excess stated)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1% of sum insured, minimum R5,000 (limited cover)</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applicable</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1% of claim, minimum R2,500</w:t>
            </w:r>
          </w:p>
        </w:tc>
      </w:tr>
    </w:tbl>
    <w:p>
      <w:pPr>
        <w:spacing w:before="160" w:after="160"/>
      </w:pPr>
      <w:r>
        <w:t xml:space="preserve"/>
      </w:r>
    </w:p>
    <w:p>
      <w:pPr>
        <w:pStyle w:val="Heading1"/>
        <w:keepNext/>
        <w:keepLines/>
        <w:pBdr>
          <w:bottom w:val="single" w:color="D3DBDD" w:sz="4" w:space="4"/>
        </w:pBdr>
        <w:spacing w:before="360" w:after="160"/>
      </w:pPr>
      <w:r>
        <w:rPr>
          <w:rFonts w:ascii="Calibri" w:cs="Calibri" w:eastAsia="Calibri" w:hAnsi="Calibri"/>
          <w:b/>
          <w:bCs/>
          <w:color w:val="000000"/>
          <w:sz w:val="36"/>
          <w:szCs w:val="36"/>
        </w:rPr>
        <w:t xml:space="preserve">13. </w:t>
      </w:r>
      <w:r>
        <w:rPr>
          <w:rFonts w:ascii="Calibri" w:cs="Calibri" w:eastAsia="Calibri" w:hAnsi="Calibri"/>
          <w:b/>
          <w:bCs/>
          <w:color w:val="000000"/>
          <w:sz w:val="36"/>
          <w:szCs w:val="36"/>
        </w:rPr>
        <w:t xml:space="preserve">Sasria cover</w:t>
      </w:r>
    </w:p>
    <w:tbl>
      <w:tblPr>
        <w:tblW w:type="pct" w:w="5000%"/>
        <w:tblBorders>
          <w:top w:val="single" w:color="D3DBDD" w:sz="4"/>
          <w:left w:val="single" w:color="D3DBDD" w:sz="4"/>
          <w:bottom w:val="single" w:color="D3DBDD" w:sz="4"/>
          <w:right w:val="single" w:color="D3DBDD" w:sz="4"/>
          <w:insideH w:val="single" w:color="D3DBDD" w:sz="4"/>
          <w:insideV w:val="single" w:color="D3DBDD" w:sz="4"/>
        </w:tblBorders>
        <w:tblLayout w:type="fixed"/>
      </w:tblPr>
      <w:tblGrid>
        <w:gridCol w:w="2907"/>
        <w:gridCol w:w="1890"/>
        <w:gridCol w:w="1890"/>
        <w:gridCol w:w="1890"/>
        <w:gridCol w:w="1889"/>
      </w:tblGrid>
      <w:tr>
        <w:trPr>
          <w:cantSplit/>
          <w:tblHeader/>
        </w:trPr>
        <w:tc>
          <w:tcPr>
            <w:tcBorders>
              <w:bottom w:val="single" w:color="2F3437" w:sz="4"/>
            </w:tcBorders>
            <w:shd w:fill="2F3437" w:color="2F3437" w:val="clear"/>
            <w:tcMar>
              <w:top w:type="dxa" w:w="144"/>
              <w:left w:type="dxa" w:w="144"/>
              <w:bottom w:type="dxa" w:w="104"/>
              <w:right w:type="dxa" w:w="144"/>
            </w:tcMar>
            <w:vAlign w:val="center"/>
          </w:tcPr>
          <w:p>
            <w:pPr>
              <w:keepNext/>
              <w:jc w:val="left"/>
            </w:pPr>
            <w:r>
              <w:rPr>
                <w:rFonts w:ascii="Calibri" w:cs="Calibri" w:eastAsia="Calibri" w:hAnsi="Calibri"/>
                <w:b/>
                <w:bCs/>
                <w:color w:val="FFFFFF"/>
                <w:spacing w:val="20"/>
                <w:sz w:val="16"/>
                <w:szCs w:val="16"/>
              </w:rPr>
              <w:t xml:space="preserve">ITEM</w:t>
            </w:r>
          </w:p>
        </w:tc>
        <w:tc>
          <w:tcPr>
            <w:tcBorders>
              <w:bottom w:val="single" w:color="2F3437" w:sz="4"/>
            </w:tcBorders>
            <w:shd w:fill="2F3437" w:color="2F3437" w:val="clear"/>
            <w:tcMar>
              <w:top w:type="dxa" w:w="144"/>
              <w:left w:type="dxa" w:w="144"/>
              <w:bottom w:type="dxa" w:w="104"/>
              <w:right w:type="dxa" w:w="144"/>
            </w:tcMar>
            <w:vAlign w:val="center"/>
          </w:tcPr>
          <w:p>
            <w:pPr>
              <w:keepNext/>
              <w:jc w:val="left"/>
            </w:pPr>
            <w:r>
              <w:rPr>
                <w:rFonts w:ascii="Calibri" w:cs="Calibri" w:eastAsia="Calibri" w:hAnsi="Calibri"/>
                <w:b/>
                <w:bCs/>
                <w:color w:val="FFFFFF"/>
                <w:spacing w:val="20"/>
                <w:sz w:val="16"/>
                <w:szCs w:val="16"/>
              </w:rPr>
              <w:t xml:space="preserve">DISCOVERY INSURE PURPLE PLAN QTE-0000001 (CURRENT POLICY)</w:t>
            </w:r>
          </w:p>
        </w:tc>
        <w:tc>
          <w:tcPr>
            <w:tcBorders>
              <w:bottom w:val="single" w:color="2F3437" w:sz="4"/>
            </w:tcBorders>
            <w:shd w:fill="2F3437" w:color="2F3437" w:val="clear"/>
            <w:tcMar>
              <w:top w:type="dxa" w:w="144"/>
              <w:left w:type="dxa" w:w="144"/>
              <w:bottom w:type="dxa" w:w="104"/>
              <w:right w:type="dxa" w:w="144"/>
            </w:tcMar>
            <w:vAlign w:val="center"/>
          </w:tcPr>
          <w:p>
            <w:pPr>
              <w:keepNext/>
              <w:jc w:val="left"/>
            </w:pPr>
            <w:r>
              <w:rPr>
                <w:rFonts w:ascii="Calibri" w:cs="Calibri" w:eastAsia="Calibri" w:hAnsi="Calibri"/>
                <w:b/>
                <w:bCs/>
                <w:color w:val="FFFFFF"/>
                <w:spacing w:val="20"/>
                <w:sz w:val="16"/>
                <w:szCs w:val="16"/>
              </w:rPr>
              <w:t xml:space="preserve">BRYTE PERSONAL POLICY QTE-0000002</w:t>
            </w:r>
          </w:p>
        </w:tc>
        <w:tc>
          <w:tcPr>
            <w:tcBorders>
              <w:bottom w:val="single" w:color="2F3437" w:sz="4"/>
            </w:tcBorders>
            <w:shd w:fill="2F3437" w:color="2F3437" w:val="clear"/>
            <w:tcMar>
              <w:top w:type="dxa" w:w="144"/>
              <w:left w:type="dxa" w:w="144"/>
              <w:bottom w:type="dxa" w:w="104"/>
              <w:right w:type="dxa" w:w="144"/>
            </w:tcMar>
            <w:vAlign w:val="center"/>
          </w:tcPr>
          <w:p>
            <w:pPr>
              <w:keepNext/>
              <w:jc w:val="left"/>
            </w:pPr>
            <w:r>
              <w:rPr>
                <w:rFonts w:ascii="Calibri" w:cs="Calibri" w:eastAsia="Calibri" w:hAnsi="Calibri"/>
                <w:b/>
                <w:bCs/>
                <w:color w:val="FFFFFF"/>
                <w:spacing w:val="20"/>
                <w:sz w:val="16"/>
                <w:szCs w:val="16"/>
              </w:rPr>
              <w:t xml:space="preserve">MUA EXECUTIVE POLICY QTE-0000003</w:t>
            </w:r>
          </w:p>
        </w:tc>
        <w:tc>
          <w:tcPr>
            <w:tcBorders>
              <w:bottom w:val="single" w:color="2F3437" w:sz="4"/>
            </w:tcBorders>
            <w:shd w:fill="2F3437" w:color="2F3437" w:val="clear"/>
            <w:tcMar>
              <w:top w:type="dxa" w:w="144"/>
              <w:left w:type="dxa" w:w="144"/>
              <w:bottom w:type="dxa" w:w="104"/>
              <w:right w:type="dxa" w:w="144"/>
            </w:tcMar>
            <w:vAlign w:val="center"/>
          </w:tcPr>
          <w:p>
            <w:pPr>
              <w:keepNext/>
              <w:jc w:val="left"/>
            </w:pPr>
            <w:r>
              <w:rPr>
                <w:rFonts w:ascii="Calibri" w:cs="Calibri" w:eastAsia="Calibri" w:hAnsi="Calibri"/>
                <w:b/>
                <w:bCs/>
                <w:color w:val="FFFFFF"/>
                <w:spacing w:val="20"/>
                <w:sz w:val="16"/>
                <w:szCs w:val="16"/>
              </w:rPr>
              <w:t xml:space="preserve">APEX PINNACLE PERSONAL QTE-0000004</w:t>
            </w:r>
          </w:p>
        </w:tc>
      </w:tr>
      <w:tr>
        <w:trPr>
          <w:cantSplit/>
        </w:trPr>
        <w:tc>
          <w:tcPr>
            <w:tcMar>
              <w:top w:type="dxa" w:w="144"/>
              <w:left w:type="dxa" w:w="144"/>
              <w:bottom w:type="dxa" w:w="104"/>
              <w:right w:type="dxa" w:w="144"/>
            </w:tcMar>
          </w:tcPr>
          <w:p>
            <w:pPr>
              <w:spacing w:before="0" w:after="40"/>
              <w:jc w:val="left"/>
            </w:pPr>
            <w:r>
              <w:rPr>
                <w:rFonts w:ascii="Calibri" w:cs="Calibri" w:eastAsia="Calibri" w:hAnsi="Calibri"/>
                <w:b/>
                <w:bCs/>
                <w:i w:val="false"/>
                <w:iCs w:val="false"/>
                <w:color w:val="000000"/>
                <w:sz w:val="20"/>
                <w:szCs w:val="20"/>
              </w:rPr>
              <w:t xml:space="preserve">Sum Insured</w:t>
            </w:r>
          </w:p>
        </w:tc>
        <w:tc>
          <w:tcPr>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Linked to insured values</w:t>
            </w:r>
          </w:p>
        </w:tc>
        <w:tc>
          <w:tcPr>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Fire: Buildings R9,801,960; Contents R2,947,241; All risks R219,308; Pleasure craft R116,500</w:t>
            </w:r>
          </w:p>
        </w:tc>
        <w:tc>
          <w:tcPr>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Fire and domestic cars on all sections</w:t>
            </w:r>
          </w:p>
        </w:tc>
        <w:tc>
          <w:tcPr>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Fire R13,085,010; Motor R686,100</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bCs/>
                <w:i w:val="false"/>
                <w:iCs w:val="false"/>
                <w:color w:val="000000"/>
                <w:sz w:val="20"/>
                <w:szCs w:val="20"/>
              </w:rPr>
              <w:t xml:space="preserve">Premium</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R54.86 monthly</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R52.22 monthly (fire R44.36 + motor R7.86)</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Fire R44.39 monthly (R443.91 annually); motor R2.62 per vehicle/trailer</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R52.22 monthly (fire R44.36 + motor R7.86)</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bCs/>
                <w:i w:val="false"/>
                <w:iCs w:val="false"/>
                <w:color w:val="000000"/>
                <w:sz w:val="20"/>
                <w:szCs w:val="20"/>
              </w:rPr>
              <w:t xml:space="preserve">Security Details</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Security costs (protection of property): No</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Security costs (protection of property): No</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bCs/>
                <w:i w:val="false"/>
                <w:iCs w:val="false"/>
                <w:color w:val="000000"/>
                <w:sz w:val="20"/>
                <w:szCs w:val="20"/>
              </w:rPr>
              <w:t xml:space="preserve">Domestic fire / non-motor Sasria</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R44.00 (0.000363% of total non-motor insured value, minimum R3.00)</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R44.36 (Buildings R33.25, Contents R9.99, All risks R0.73, Pleasure craft R0.39)</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R44.39 (SASRIA Fire Domestic)</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R44.36 (Buildings R33.25, Contents R9.99, All risks R0.73, Pleasure craft R0.39)</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  - Conditions</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Premium paid by Discovery Insure on the planholder's behalf</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Selected on Buildings, Contents, All risks and Watercraft</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bCs/>
                <w:i w:val="false"/>
                <w:iCs w:val="false"/>
                <w:color w:val="000000"/>
                <w:sz w:val="20"/>
                <w:szCs w:val="20"/>
              </w:rPr>
              <w:t xml:space="preserve">Motor Sasria</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R7.86 (flat R2.62 per motor item)</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R7.86 (three items at R2.62: VW Polo, Toyota, trailer)</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R2.62 per vehicle and trailer (included in the sections' premiums)</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R7.86 (three items at R2.62)</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bCs/>
                <w:i w:val="false"/>
                <w:iCs w:val="false"/>
                <w:color w:val="000000"/>
                <w:sz w:val="20"/>
                <w:szCs w:val="20"/>
              </w:rPr>
              <w:t xml:space="preserve">Watercraft Sasria</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R3.00</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Included in the fire premium (R0.39)</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Included in the fire premium</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Included in the fire premium (R0.39); separate Sasria watercraft section Not taken</w:t>
            </w:r>
          </w:p>
        </w:tc>
      </w:tr>
    </w:tbl>
    <w:p>
      <w:pPr>
        <w:spacing w:before="160" w:after="160"/>
      </w:pPr>
      <w:r>
        <w:t xml:space="preserve"/>
      </w:r>
    </w:p>
    <w:p>
      <w:pPr>
        <w:pStyle w:val="Heading1"/>
        <w:keepNext/>
        <w:keepLines/>
        <w:pBdr>
          <w:bottom w:val="single" w:color="D3DBDD" w:sz="4" w:space="4"/>
        </w:pBdr>
        <w:spacing w:before="360" w:after="160"/>
      </w:pPr>
      <w:r>
        <w:rPr>
          <w:rFonts w:ascii="Calibri" w:cs="Calibri" w:eastAsia="Calibri" w:hAnsi="Calibri"/>
          <w:b/>
          <w:bCs/>
          <w:color w:val="000000"/>
          <w:sz w:val="36"/>
          <w:szCs w:val="36"/>
        </w:rPr>
        <w:t xml:space="preserve">14. </w:t>
      </w:r>
      <w:r>
        <w:rPr>
          <w:rFonts w:ascii="Calibri" w:cs="Calibri" w:eastAsia="Calibri" w:hAnsi="Calibri"/>
          <w:b/>
          <w:bCs/>
          <w:color w:val="000000"/>
          <w:sz w:val="36"/>
          <w:szCs w:val="36"/>
        </w:rPr>
        <w:t xml:space="preserve">Burglar alarm linked</w:t>
      </w:r>
    </w:p>
    <w:tbl>
      <w:tblPr>
        <w:tblW w:type="pct" w:w="5000%"/>
        <w:tblBorders>
          <w:top w:val="single" w:color="D3DBDD" w:sz="4"/>
          <w:left w:val="single" w:color="D3DBDD" w:sz="4"/>
          <w:bottom w:val="single" w:color="D3DBDD" w:sz="4"/>
          <w:right w:val="single" w:color="D3DBDD" w:sz="4"/>
          <w:insideH w:val="single" w:color="D3DBDD" w:sz="4"/>
          <w:insideV w:val="single" w:color="D3DBDD" w:sz="4"/>
        </w:tblBorders>
        <w:tblLayout w:type="fixed"/>
      </w:tblPr>
      <w:tblGrid>
        <w:gridCol w:w="2907"/>
        <w:gridCol w:w="1890"/>
        <w:gridCol w:w="1890"/>
        <w:gridCol w:w="1890"/>
        <w:gridCol w:w="1889"/>
      </w:tblGrid>
      <w:tr>
        <w:trPr>
          <w:cantSplit/>
          <w:tblHeader/>
        </w:trPr>
        <w:tc>
          <w:tcPr>
            <w:tcBorders>
              <w:bottom w:val="single" w:color="2F3437" w:sz="4"/>
            </w:tcBorders>
            <w:shd w:fill="2F3437" w:color="2F3437" w:val="clear"/>
            <w:tcMar>
              <w:top w:type="dxa" w:w="144"/>
              <w:left w:type="dxa" w:w="144"/>
              <w:bottom w:type="dxa" w:w="104"/>
              <w:right w:type="dxa" w:w="144"/>
            </w:tcMar>
            <w:vAlign w:val="center"/>
          </w:tcPr>
          <w:p>
            <w:pPr>
              <w:keepNext/>
              <w:jc w:val="left"/>
            </w:pPr>
            <w:r>
              <w:rPr>
                <w:rFonts w:ascii="Calibri" w:cs="Calibri" w:eastAsia="Calibri" w:hAnsi="Calibri"/>
                <w:b/>
                <w:bCs/>
                <w:color w:val="FFFFFF"/>
                <w:spacing w:val="20"/>
                <w:sz w:val="16"/>
                <w:szCs w:val="16"/>
              </w:rPr>
              <w:t xml:space="preserve">ITEM</w:t>
            </w:r>
          </w:p>
        </w:tc>
        <w:tc>
          <w:tcPr>
            <w:tcBorders>
              <w:bottom w:val="single" w:color="2F3437" w:sz="4"/>
            </w:tcBorders>
            <w:shd w:fill="2F3437" w:color="2F3437" w:val="clear"/>
            <w:tcMar>
              <w:top w:type="dxa" w:w="144"/>
              <w:left w:type="dxa" w:w="144"/>
              <w:bottom w:type="dxa" w:w="104"/>
              <w:right w:type="dxa" w:w="144"/>
            </w:tcMar>
            <w:vAlign w:val="center"/>
          </w:tcPr>
          <w:p>
            <w:pPr>
              <w:keepNext/>
              <w:jc w:val="left"/>
            </w:pPr>
            <w:r>
              <w:rPr>
                <w:rFonts w:ascii="Calibri" w:cs="Calibri" w:eastAsia="Calibri" w:hAnsi="Calibri"/>
                <w:b/>
                <w:bCs/>
                <w:color w:val="FFFFFF"/>
                <w:spacing w:val="20"/>
                <w:sz w:val="16"/>
                <w:szCs w:val="16"/>
              </w:rPr>
              <w:t xml:space="preserve">DISCOVERY INSURE PURPLE PLAN QTE-0000001 (CURRENT POLICY)</w:t>
            </w:r>
          </w:p>
        </w:tc>
        <w:tc>
          <w:tcPr>
            <w:tcBorders>
              <w:bottom w:val="single" w:color="2F3437" w:sz="4"/>
            </w:tcBorders>
            <w:shd w:fill="2F3437" w:color="2F3437" w:val="clear"/>
            <w:tcMar>
              <w:top w:type="dxa" w:w="144"/>
              <w:left w:type="dxa" w:w="144"/>
              <w:bottom w:type="dxa" w:w="104"/>
              <w:right w:type="dxa" w:w="144"/>
            </w:tcMar>
            <w:vAlign w:val="center"/>
          </w:tcPr>
          <w:p>
            <w:pPr>
              <w:keepNext/>
              <w:jc w:val="left"/>
            </w:pPr>
            <w:r>
              <w:rPr>
                <w:rFonts w:ascii="Calibri" w:cs="Calibri" w:eastAsia="Calibri" w:hAnsi="Calibri"/>
                <w:b/>
                <w:bCs/>
                <w:color w:val="FFFFFF"/>
                <w:spacing w:val="20"/>
                <w:sz w:val="16"/>
                <w:szCs w:val="16"/>
              </w:rPr>
              <w:t xml:space="preserve">BRYTE PERSONAL POLICY QTE-0000002</w:t>
            </w:r>
          </w:p>
        </w:tc>
        <w:tc>
          <w:tcPr>
            <w:tcBorders>
              <w:bottom w:val="single" w:color="2F3437" w:sz="4"/>
            </w:tcBorders>
            <w:shd w:fill="2F3437" w:color="2F3437" w:val="clear"/>
            <w:tcMar>
              <w:top w:type="dxa" w:w="144"/>
              <w:left w:type="dxa" w:w="144"/>
              <w:bottom w:type="dxa" w:w="104"/>
              <w:right w:type="dxa" w:w="144"/>
            </w:tcMar>
            <w:vAlign w:val="center"/>
          </w:tcPr>
          <w:p>
            <w:pPr>
              <w:keepNext/>
              <w:jc w:val="left"/>
            </w:pPr>
            <w:r>
              <w:rPr>
                <w:rFonts w:ascii="Calibri" w:cs="Calibri" w:eastAsia="Calibri" w:hAnsi="Calibri"/>
                <w:b/>
                <w:bCs/>
                <w:color w:val="FFFFFF"/>
                <w:spacing w:val="20"/>
                <w:sz w:val="16"/>
                <w:szCs w:val="16"/>
              </w:rPr>
              <w:t xml:space="preserve">MUA EXECUTIVE POLICY QTE-0000003</w:t>
            </w:r>
          </w:p>
        </w:tc>
        <w:tc>
          <w:tcPr>
            <w:tcBorders>
              <w:bottom w:val="single" w:color="2F3437" w:sz="4"/>
            </w:tcBorders>
            <w:shd w:fill="2F3437" w:color="2F3437" w:val="clear"/>
            <w:tcMar>
              <w:top w:type="dxa" w:w="144"/>
              <w:left w:type="dxa" w:w="144"/>
              <w:bottom w:type="dxa" w:w="104"/>
              <w:right w:type="dxa" w:w="144"/>
            </w:tcMar>
            <w:vAlign w:val="center"/>
          </w:tcPr>
          <w:p>
            <w:pPr>
              <w:keepNext/>
              <w:jc w:val="left"/>
            </w:pPr>
            <w:r>
              <w:rPr>
                <w:rFonts w:ascii="Calibri" w:cs="Calibri" w:eastAsia="Calibri" w:hAnsi="Calibri"/>
                <w:b/>
                <w:bCs/>
                <w:color w:val="FFFFFF"/>
                <w:spacing w:val="20"/>
                <w:sz w:val="16"/>
                <w:szCs w:val="16"/>
              </w:rPr>
              <w:t xml:space="preserve">APEX PINNACLE PERSONAL QTE-0000004</w:t>
            </w:r>
          </w:p>
        </w:tc>
      </w:tr>
      <w:tr>
        <w:trPr>
          <w:cantSplit/>
        </w:trPr>
        <w:tc>
          <w:tcPr>
            <w:tcMar>
              <w:top w:type="dxa" w:w="144"/>
              <w:left w:type="dxa" w:w="144"/>
              <w:bottom w:type="dxa" w:w="104"/>
              <w:right w:type="dxa" w:w="144"/>
            </w:tcMar>
          </w:tcPr>
          <w:p>
            <w:pPr>
              <w:spacing w:before="0" w:after="40"/>
              <w:jc w:val="left"/>
            </w:pPr>
            <w:r>
              <w:rPr>
                <w:rFonts w:ascii="Calibri" w:cs="Calibri" w:eastAsia="Calibri" w:hAnsi="Calibri"/>
                <w:b/>
                <w:bCs/>
                <w:i w:val="false"/>
                <w:iCs w:val="false"/>
                <w:color w:val="000000"/>
                <w:sz w:val="20"/>
                <w:szCs w:val="20"/>
              </w:rPr>
              <w:t xml:space="preserve">Sum Insured</w:t>
            </w:r>
          </w:p>
        </w:tc>
        <w:tc>
          <w:tcPr>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Contents R2,947,241.03</w:t>
            </w:r>
          </w:p>
        </w:tc>
        <w:tc>
          <w:tcPr>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Contents R2,947,241</w:t>
            </w:r>
          </w:p>
        </w:tc>
        <w:tc>
          <w:tcPr>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Contents R2,947,241.03</w:t>
            </w:r>
          </w:p>
        </w:tc>
        <w:tc>
          <w:tcPr>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Contents R2,947,241</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bCs/>
                <w:i w:val="false"/>
                <w:iCs w:val="false"/>
                <w:color w:val="000000"/>
                <w:sz w:val="20"/>
                <w:szCs w:val="20"/>
              </w:rPr>
              <w:t xml:space="preserve">Premium</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Contents R1,563.89</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Contents R1,726.04</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Contents R928.86 monthly</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Contents R1,564.00</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bCs/>
                <w:i w:val="false"/>
                <w:iCs w:val="false"/>
                <w:color w:val="000000"/>
                <w:sz w:val="20"/>
                <w:szCs w:val="20"/>
              </w:rPr>
              <w:t xml:space="preserve">Security Details</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Radio-linked alarm: Yes</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Alarm with armed response: No</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Alarm with armed response (required before cover)</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Burglar alarm linked: Yes</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bCs/>
                <w:i w:val="false"/>
                <w:iCs w:val="false"/>
                <w:color w:val="000000"/>
                <w:sz w:val="20"/>
                <w:szCs w:val="20"/>
              </w:rPr>
              <w:t xml:space="preserve">Linked burglar alarm</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Yes, radio-linked alarm</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 alarm declared; a 24-hour armed-response alarm is required where contents are R750,000 or more</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Yes, alarm linked to a 24-hour control centre with armed response</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Yes</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  - Conditions</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Alarm must be linked to a 24-hour reaction unit and kept in good working order and armed when the home is unoccupied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A siren-only alarm, or one linked solely to a family member or guard house, is not acceptable</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Alarm must be fully and properly set whenever the home is left unattended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  - Exclusions</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 theft cover if the alarm warranty is not met</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Additional excess of 10% of claim, minimum R10,000, if not complied with</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 cover for theft or attempted theft unless the alarm is linked and set</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r>
    </w:tbl>
    <w:p>
      <w:pPr>
        <w:spacing w:before="160" w:after="160"/>
      </w:pPr>
      <w:r>
        <w:t xml:space="preserve"/>
      </w:r>
    </w:p>
    <w:p>
      <w:pPr>
        <w:pStyle w:val="Heading1"/>
        <w:keepNext/>
        <w:keepLines/>
        <w:pBdr>
          <w:bottom w:val="single" w:color="D3DBDD" w:sz="4" w:space="4"/>
        </w:pBdr>
        <w:spacing w:before="360" w:after="160"/>
      </w:pPr>
      <w:r>
        <w:rPr>
          <w:rFonts w:ascii="Calibri" w:cs="Calibri" w:eastAsia="Calibri" w:hAnsi="Calibri"/>
          <w:b/>
          <w:bCs/>
          <w:color w:val="000000"/>
          <w:sz w:val="36"/>
          <w:szCs w:val="36"/>
        </w:rPr>
        <w:t xml:space="preserve">15. </w:t>
      </w:r>
      <w:r>
        <w:rPr>
          <w:rFonts w:ascii="Calibri" w:cs="Calibri" w:eastAsia="Calibri" w:hAnsi="Calibri"/>
          <w:b/>
          <w:bCs/>
          <w:color w:val="000000"/>
          <w:sz w:val="36"/>
          <w:szCs w:val="36"/>
        </w:rPr>
        <w:t xml:space="preserve">Theft excluded</w:t>
      </w:r>
    </w:p>
    <w:tbl>
      <w:tblPr>
        <w:tblW w:type="pct" w:w="5000%"/>
        <w:tblBorders>
          <w:top w:val="single" w:color="D3DBDD" w:sz="4"/>
          <w:left w:val="single" w:color="D3DBDD" w:sz="4"/>
          <w:bottom w:val="single" w:color="D3DBDD" w:sz="4"/>
          <w:right w:val="single" w:color="D3DBDD" w:sz="4"/>
          <w:insideH w:val="single" w:color="D3DBDD" w:sz="4"/>
          <w:insideV w:val="single" w:color="D3DBDD" w:sz="4"/>
        </w:tblBorders>
        <w:tblLayout w:type="fixed"/>
      </w:tblPr>
      <w:tblGrid>
        <w:gridCol w:w="2907"/>
        <w:gridCol w:w="1890"/>
        <w:gridCol w:w="1890"/>
        <w:gridCol w:w="1890"/>
        <w:gridCol w:w="1889"/>
      </w:tblGrid>
      <w:tr>
        <w:trPr>
          <w:cantSplit/>
          <w:tblHeader/>
        </w:trPr>
        <w:tc>
          <w:tcPr>
            <w:tcBorders>
              <w:bottom w:val="single" w:color="2F3437" w:sz="4"/>
            </w:tcBorders>
            <w:shd w:fill="2F3437" w:color="2F3437" w:val="clear"/>
            <w:tcMar>
              <w:top w:type="dxa" w:w="144"/>
              <w:left w:type="dxa" w:w="144"/>
              <w:bottom w:type="dxa" w:w="104"/>
              <w:right w:type="dxa" w:w="144"/>
            </w:tcMar>
            <w:vAlign w:val="center"/>
          </w:tcPr>
          <w:p>
            <w:pPr>
              <w:keepNext/>
              <w:jc w:val="left"/>
            </w:pPr>
            <w:r>
              <w:rPr>
                <w:rFonts w:ascii="Calibri" w:cs="Calibri" w:eastAsia="Calibri" w:hAnsi="Calibri"/>
                <w:b/>
                <w:bCs/>
                <w:color w:val="FFFFFF"/>
                <w:spacing w:val="20"/>
                <w:sz w:val="16"/>
                <w:szCs w:val="16"/>
              </w:rPr>
              <w:t xml:space="preserve">ITEM</w:t>
            </w:r>
          </w:p>
        </w:tc>
        <w:tc>
          <w:tcPr>
            <w:tcBorders>
              <w:bottom w:val="single" w:color="2F3437" w:sz="4"/>
            </w:tcBorders>
            <w:shd w:fill="2F3437" w:color="2F3437" w:val="clear"/>
            <w:tcMar>
              <w:top w:type="dxa" w:w="144"/>
              <w:left w:type="dxa" w:w="144"/>
              <w:bottom w:type="dxa" w:w="104"/>
              <w:right w:type="dxa" w:w="144"/>
            </w:tcMar>
            <w:vAlign w:val="center"/>
          </w:tcPr>
          <w:p>
            <w:pPr>
              <w:keepNext/>
              <w:jc w:val="left"/>
            </w:pPr>
            <w:r>
              <w:rPr>
                <w:rFonts w:ascii="Calibri" w:cs="Calibri" w:eastAsia="Calibri" w:hAnsi="Calibri"/>
                <w:b/>
                <w:bCs/>
                <w:color w:val="FFFFFF"/>
                <w:spacing w:val="20"/>
                <w:sz w:val="16"/>
                <w:szCs w:val="16"/>
              </w:rPr>
              <w:t xml:space="preserve">DISCOVERY INSURE PURPLE PLAN QTE-0000001 (CURRENT POLICY)</w:t>
            </w:r>
          </w:p>
        </w:tc>
        <w:tc>
          <w:tcPr>
            <w:tcBorders>
              <w:bottom w:val="single" w:color="2F3437" w:sz="4"/>
            </w:tcBorders>
            <w:shd w:fill="2F3437" w:color="2F3437" w:val="clear"/>
            <w:tcMar>
              <w:top w:type="dxa" w:w="144"/>
              <w:left w:type="dxa" w:w="144"/>
              <w:bottom w:type="dxa" w:w="104"/>
              <w:right w:type="dxa" w:w="144"/>
            </w:tcMar>
            <w:vAlign w:val="center"/>
          </w:tcPr>
          <w:p>
            <w:pPr>
              <w:keepNext/>
              <w:jc w:val="left"/>
            </w:pPr>
            <w:r>
              <w:rPr>
                <w:rFonts w:ascii="Calibri" w:cs="Calibri" w:eastAsia="Calibri" w:hAnsi="Calibri"/>
                <w:b/>
                <w:bCs/>
                <w:color w:val="FFFFFF"/>
                <w:spacing w:val="20"/>
                <w:sz w:val="16"/>
                <w:szCs w:val="16"/>
              </w:rPr>
              <w:t xml:space="preserve">BRYTE PERSONAL POLICY QTE-0000002</w:t>
            </w:r>
          </w:p>
        </w:tc>
        <w:tc>
          <w:tcPr>
            <w:tcBorders>
              <w:bottom w:val="single" w:color="2F3437" w:sz="4"/>
            </w:tcBorders>
            <w:shd w:fill="2F3437" w:color="2F3437" w:val="clear"/>
            <w:tcMar>
              <w:top w:type="dxa" w:w="144"/>
              <w:left w:type="dxa" w:w="144"/>
              <w:bottom w:type="dxa" w:w="104"/>
              <w:right w:type="dxa" w:w="144"/>
            </w:tcMar>
            <w:vAlign w:val="center"/>
          </w:tcPr>
          <w:p>
            <w:pPr>
              <w:keepNext/>
              <w:jc w:val="left"/>
            </w:pPr>
            <w:r>
              <w:rPr>
                <w:rFonts w:ascii="Calibri" w:cs="Calibri" w:eastAsia="Calibri" w:hAnsi="Calibri"/>
                <w:b/>
                <w:bCs/>
                <w:color w:val="FFFFFF"/>
                <w:spacing w:val="20"/>
                <w:sz w:val="16"/>
                <w:szCs w:val="16"/>
              </w:rPr>
              <w:t xml:space="preserve">MUA EXECUTIVE POLICY QTE-0000003</w:t>
            </w:r>
          </w:p>
        </w:tc>
        <w:tc>
          <w:tcPr>
            <w:tcBorders>
              <w:bottom w:val="single" w:color="2F3437" w:sz="4"/>
            </w:tcBorders>
            <w:shd w:fill="2F3437" w:color="2F3437" w:val="clear"/>
            <w:tcMar>
              <w:top w:type="dxa" w:w="144"/>
              <w:left w:type="dxa" w:w="144"/>
              <w:bottom w:type="dxa" w:w="104"/>
              <w:right w:type="dxa" w:w="144"/>
            </w:tcMar>
            <w:vAlign w:val="center"/>
          </w:tcPr>
          <w:p>
            <w:pPr>
              <w:keepNext/>
              <w:jc w:val="left"/>
            </w:pPr>
            <w:r>
              <w:rPr>
                <w:rFonts w:ascii="Calibri" w:cs="Calibri" w:eastAsia="Calibri" w:hAnsi="Calibri"/>
                <w:b/>
                <w:bCs/>
                <w:color w:val="FFFFFF"/>
                <w:spacing w:val="20"/>
                <w:sz w:val="16"/>
                <w:szCs w:val="16"/>
              </w:rPr>
              <w:t xml:space="preserve">APEX PINNACLE PERSONAL QTE-0000004</w:t>
            </w:r>
          </w:p>
        </w:tc>
      </w:tr>
      <w:tr>
        <w:trPr>
          <w:cantSplit/>
        </w:trPr>
        <w:tc>
          <w:tcPr>
            <w:tcMar>
              <w:top w:type="dxa" w:w="144"/>
              <w:left w:type="dxa" w:w="144"/>
              <w:bottom w:type="dxa" w:w="104"/>
              <w:right w:type="dxa" w:w="144"/>
            </w:tcMar>
          </w:tcPr>
          <w:p>
            <w:pPr>
              <w:spacing w:before="0" w:after="40"/>
              <w:jc w:val="left"/>
            </w:pPr>
            <w:r>
              <w:rPr>
                <w:rFonts w:ascii="Calibri" w:cs="Calibri" w:eastAsia="Calibri" w:hAnsi="Calibri"/>
                <w:b/>
                <w:bCs/>
                <w:i w:val="false"/>
                <w:iCs w:val="false"/>
                <w:color w:val="000000"/>
                <w:sz w:val="20"/>
                <w:szCs w:val="20"/>
              </w:rPr>
              <w:t xml:space="preserve">Sum Insured</w:t>
            </w:r>
          </w:p>
        </w:tc>
        <w:tc>
          <w:tcPr>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Contents R2,947,241</w:t>
            </w:r>
          </w:p>
        </w:tc>
        <w:tc>
          <w:tcPr>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Contents R2,947,241</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bCs/>
                <w:i w:val="false"/>
                <w:iCs w:val="false"/>
                <w:color w:val="000000"/>
                <w:sz w:val="20"/>
                <w:szCs w:val="20"/>
              </w:rPr>
              <w:t xml:space="preserve">Premium</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Contents R1,726.04</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Contents R1,564.00</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bCs/>
                <w:i w:val="false"/>
                <w:iCs w:val="false"/>
                <w:color w:val="000000"/>
                <w:sz w:val="20"/>
                <w:szCs w:val="20"/>
              </w:rPr>
              <w:t xml:space="preserve">Security Details</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Theft covered subject to minimum security</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Theft excluded: No</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Theft covered subject to alarm endorsement</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Theft excluded: No</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bCs/>
                <w:i w:val="false"/>
                <w:iCs w:val="false"/>
                <w:color w:val="000000"/>
                <w:sz w:val="20"/>
                <w:szCs w:val="20"/>
              </w:rPr>
              <w:t xml:space="preserve">Theft excluded option</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 theft covered if minimum security is met</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 (theft is covered)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 theft covered subject to alarm endorsement</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 (theft is covered)</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  - Conditions</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Visible forcible and violent entry required during renovations, business use or open ground without a boundary wall</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Security requirements must be met</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Alarm must be linked and set</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Required security items must be fitted and maintained</w:t>
            </w:r>
          </w:p>
        </w:tc>
      </w:tr>
    </w:tbl>
    <w:p>
      <w:pPr>
        <w:spacing w:before="160" w:after="160"/>
      </w:pPr>
      <w:r>
        <w:t xml:space="preserve"/>
      </w:r>
    </w:p>
    <w:p>
      <w:pPr>
        <w:pStyle w:val="Heading1"/>
        <w:keepNext/>
        <w:keepLines/>
        <w:pBdr>
          <w:bottom w:val="single" w:color="D3DBDD" w:sz="4" w:space="4"/>
        </w:pBdr>
        <w:spacing w:before="360" w:after="160"/>
      </w:pPr>
      <w:r>
        <w:rPr>
          <w:rFonts w:ascii="Calibri" w:cs="Calibri" w:eastAsia="Calibri" w:hAnsi="Calibri"/>
          <w:b/>
          <w:bCs/>
          <w:color w:val="000000"/>
          <w:sz w:val="36"/>
          <w:szCs w:val="36"/>
        </w:rPr>
        <w:t xml:space="preserve">16. </w:t>
      </w:r>
      <w:r>
        <w:rPr>
          <w:rFonts w:ascii="Calibri" w:cs="Calibri" w:eastAsia="Calibri" w:hAnsi="Calibri"/>
          <w:b/>
          <w:bCs/>
          <w:color w:val="000000"/>
          <w:sz w:val="36"/>
          <w:szCs w:val="36"/>
        </w:rPr>
        <w:t xml:space="preserve">Additional locks and keys</w:t>
      </w:r>
    </w:p>
    <w:tbl>
      <w:tblPr>
        <w:tblW w:type="pct" w:w="5000%"/>
        <w:tblBorders>
          <w:top w:val="single" w:color="D3DBDD" w:sz="4"/>
          <w:left w:val="single" w:color="D3DBDD" w:sz="4"/>
          <w:bottom w:val="single" w:color="D3DBDD" w:sz="4"/>
          <w:right w:val="single" w:color="D3DBDD" w:sz="4"/>
          <w:insideH w:val="single" w:color="D3DBDD" w:sz="4"/>
          <w:insideV w:val="single" w:color="D3DBDD" w:sz="4"/>
        </w:tblBorders>
        <w:tblLayout w:type="fixed"/>
      </w:tblPr>
      <w:tblGrid>
        <w:gridCol w:w="2907"/>
        <w:gridCol w:w="1890"/>
        <w:gridCol w:w="1890"/>
        <w:gridCol w:w="1890"/>
        <w:gridCol w:w="1889"/>
      </w:tblGrid>
      <w:tr>
        <w:trPr>
          <w:cantSplit/>
          <w:tblHeader/>
        </w:trPr>
        <w:tc>
          <w:tcPr>
            <w:tcBorders>
              <w:bottom w:val="single" w:color="2F3437" w:sz="4"/>
            </w:tcBorders>
            <w:shd w:fill="2F3437" w:color="2F3437" w:val="clear"/>
            <w:tcMar>
              <w:top w:type="dxa" w:w="144"/>
              <w:left w:type="dxa" w:w="144"/>
              <w:bottom w:type="dxa" w:w="104"/>
              <w:right w:type="dxa" w:w="144"/>
            </w:tcMar>
            <w:vAlign w:val="center"/>
          </w:tcPr>
          <w:p>
            <w:pPr>
              <w:keepNext/>
              <w:jc w:val="left"/>
            </w:pPr>
            <w:r>
              <w:rPr>
                <w:rFonts w:ascii="Calibri" w:cs="Calibri" w:eastAsia="Calibri" w:hAnsi="Calibri"/>
                <w:b/>
                <w:bCs/>
                <w:color w:val="FFFFFF"/>
                <w:spacing w:val="20"/>
                <w:sz w:val="16"/>
                <w:szCs w:val="16"/>
              </w:rPr>
              <w:t xml:space="preserve">ITEM</w:t>
            </w:r>
          </w:p>
        </w:tc>
        <w:tc>
          <w:tcPr>
            <w:tcBorders>
              <w:bottom w:val="single" w:color="2F3437" w:sz="4"/>
            </w:tcBorders>
            <w:shd w:fill="2F3437" w:color="2F3437" w:val="clear"/>
            <w:tcMar>
              <w:top w:type="dxa" w:w="144"/>
              <w:left w:type="dxa" w:w="144"/>
              <w:bottom w:type="dxa" w:w="104"/>
              <w:right w:type="dxa" w:w="144"/>
            </w:tcMar>
            <w:vAlign w:val="center"/>
          </w:tcPr>
          <w:p>
            <w:pPr>
              <w:keepNext/>
              <w:jc w:val="left"/>
            </w:pPr>
            <w:r>
              <w:rPr>
                <w:rFonts w:ascii="Calibri" w:cs="Calibri" w:eastAsia="Calibri" w:hAnsi="Calibri"/>
                <w:b/>
                <w:bCs/>
                <w:color w:val="FFFFFF"/>
                <w:spacing w:val="20"/>
                <w:sz w:val="16"/>
                <w:szCs w:val="16"/>
              </w:rPr>
              <w:t xml:space="preserve">DISCOVERY INSURE PURPLE PLAN QTE-0000001 (CURRENT POLICY)</w:t>
            </w:r>
          </w:p>
        </w:tc>
        <w:tc>
          <w:tcPr>
            <w:tcBorders>
              <w:bottom w:val="single" w:color="2F3437" w:sz="4"/>
            </w:tcBorders>
            <w:shd w:fill="2F3437" w:color="2F3437" w:val="clear"/>
            <w:tcMar>
              <w:top w:type="dxa" w:w="144"/>
              <w:left w:type="dxa" w:w="144"/>
              <w:bottom w:type="dxa" w:w="104"/>
              <w:right w:type="dxa" w:w="144"/>
            </w:tcMar>
            <w:vAlign w:val="center"/>
          </w:tcPr>
          <w:p>
            <w:pPr>
              <w:keepNext/>
              <w:jc w:val="left"/>
            </w:pPr>
            <w:r>
              <w:rPr>
                <w:rFonts w:ascii="Calibri" w:cs="Calibri" w:eastAsia="Calibri" w:hAnsi="Calibri"/>
                <w:b/>
                <w:bCs/>
                <w:color w:val="FFFFFF"/>
                <w:spacing w:val="20"/>
                <w:sz w:val="16"/>
                <w:szCs w:val="16"/>
              </w:rPr>
              <w:t xml:space="preserve">BRYTE PERSONAL POLICY QTE-0000002</w:t>
            </w:r>
          </w:p>
        </w:tc>
        <w:tc>
          <w:tcPr>
            <w:tcBorders>
              <w:bottom w:val="single" w:color="2F3437" w:sz="4"/>
            </w:tcBorders>
            <w:shd w:fill="2F3437" w:color="2F3437" w:val="clear"/>
            <w:tcMar>
              <w:top w:type="dxa" w:w="144"/>
              <w:left w:type="dxa" w:w="144"/>
              <w:bottom w:type="dxa" w:w="104"/>
              <w:right w:type="dxa" w:w="144"/>
            </w:tcMar>
            <w:vAlign w:val="center"/>
          </w:tcPr>
          <w:p>
            <w:pPr>
              <w:keepNext/>
              <w:jc w:val="left"/>
            </w:pPr>
            <w:r>
              <w:rPr>
                <w:rFonts w:ascii="Calibri" w:cs="Calibri" w:eastAsia="Calibri" w:hAnsi="Calibri"/>
                <w:b/>
                <w:bCs/>
                <w:color w:val="FFFFFF"/>
                <w:spacing w:val="20"/>
                <w:sz w:val="16"/>
                <w:szCs w:val="16"/>
              </w:rPr>
              <w:t xml:space="preserve">MUA EXECUTIVE POLICY QTE-0000003</w:t>
            </w:r>
          </w:p>
        </w:tc>
        <w:tc>
          <w:tcPr>
            <w:tcBorders>
              <w:bottom w:val="single" w:color="2F3437" w:sz="4"/>
            </w:tcBorders>
            <w:shd w:fill="2F3437" w:color="2F3437" w:val="clear"/>
            <w:tcMar>
              <w:top w:type="dxa" w:w="144"/>
              <w:left w:type="dxa" w:w="144"/>
              <w:bottom w:type="dxa" w:w="104"/>
              <w:right w:type="dxa" w:w="144"/>
            </w:tcMar>
            <w:vAlign w:val="center"/>
          </w:tcPr>
          <w:p>
            <w:pPr>
              <w:keepNext/>
              <w:jc w:val="left"/>
            </w:pPr>
            <w:r>
              <w:rPr>
                <w:rFonts w:ascii="Calibri" w:cs="Calibri" w:eastAsia="Calibri" w:hAnsi="Calibri"/>
                <w:b/>
                <w:bCs/>
                <w:color w:val="FFFFFF"/>
                <w:spacing w:val="20"/>
                <w:sz w:val="16"/>
                <w:szCs w:val="16"/>
              </w:rPr>
              <w:t xml:space="preserve">APEX PINNACLE PERSONAL QTE-0000004</w:t>
            </w:r>
          </w:p>
        </w:tc>
      </w:tr>
      <w:tr>
        <w:trPr>
          <w:cantSplit/>
        </w:trPr>
        <w:tc>
          <w:tcPr>
            <w:tcMar>
              <w:top w:type="dxa" w:w="144"/>
              <w:left w:type="dxa" w:w="144"/>
              <w:bottom w:type="dxa" w:w="104"/>
              <w:right w:type="dxa" w:w="144"/>
            </w:tcMar>
          </w:tcPr>
          <w:p>
            <w:pPr>
              <w:spacing w:before="0" w:after="40"/>
              <w:jc w:val="left"/>
            </w:pPr>
            <w:r>
              <w:rPr>
                <w:rFonts w:ascii="Calibri" w:cs="Calibri" w:eastAsia="Calibri" w:hAnsi="Calibri"/>
                <w:b/>
                <w:bCs/>
                <w:i w:val="false"/>
                <w:iCs w:val="false"/>
                <w:color w:val="000000"/>
                <w:sz w:val="20"/>
                <w:szCs w:val="20"/>
              </w:rPr>
              <w:t xml:space="preserve">Sum Insured</w:t>
            </w:r>
          </w:p>
        </w:tc>
        <w:tc>
          <w:tcPr>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covered (No on both vehicles and trailer); optional sum insured</w:t>
            </w:r>
          </w:p>
        </w:tc>
        <w:tc>
          <w:tcPr>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Loss of keys R20,000 (motor extension)</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bCs/>
                <w:i w:val="false"/>
                <w:iCs w:val="false"/>
                <w:color w:val="000000"/>
                <w:sz w:val="20"/>
                <w:szCs w:val="20"/>
              </w:rPr>
              <w:t xml:space="preserve">Premium</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covered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Included</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bCs/>
                <w:i w:val="false"/>
                <w:iCs w:val="false"/>
                <w:color w:val="000000"/>
                <w:sz w:val="20"/>
                <w:szCs w:val="20"/>
              </w:rPr>
              <w:t xml:space="preserve">Security Details</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bCs/>
                <w:i w:val="false"/>
                <w:iCs w:val="false"/>
                <w:color w:val="000000"/>
                <w:sz w:val="20"/>
                <w:szCs w:val="20"/>
              </w:rPr>
              <w:t xml:space="preserve">Additional locks and keys extension</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an optional extension; base cover for loss of keys R20,000</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  - Conditions</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Optional sum insured; base motor locks and keys R10,000, caravans and trailers R10,000</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  - Policy Terms</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Locks and keys excess R500 (motor), R250 (trailer)</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Locks, keys, central locking and remotes excess R250</w:t>
            </w:r>
          </w:p>
        </w:tc>
      </w:tr>
    </w:tbl>
    <w:p>
      <w:pPr>
        <w:spacing w:before="160" w:after="160"/>
      </w:pPr>
      <w:r>
        <w:t xml:space="preserve"/>
      </w:r>
    </w:p>
    <w:p>
      <w:pPr>
        <w:pStyle w:val="Heading1"/>
        <w:keepNext/>
        <w:keepLines/>
        <w:pBdr>
          <w:bottom w:val="single" w:color="D3DBDD" w:sz="4" w:space="4"/>
        </w:pBdr>
        <w:spacing w:before="360" w:after="160"/>
      </w:pPr>
      <w:r>
        <w:rPr>
          <w:rFonts w:ascii="Calibri" w:cs="Calibri" w:eastAsia="Calibri" w:hAnsi="Calibri"/>
          <w:b/>
          <w:bCs/>
          <w:color w:val="000000"/>
          <w:sz w:val="36"/>
          <w:szCs w:val="36"/>
        </w:rPr>
        <w:t xml:space="preserve">17. </w:t>
      </w:r>
      <w:r>
        <w:rPr>
          <w:rFonts w:ascii="Calibri" w:cs="Calibri" w:eastAsia="Calibri" w:hAnsi="Calibri"/>
          <w:b/>
          <w:bCs/>
          <w:color w:val="000000"/>
          <w:sz w:val="36"/>
          <w:szCs w:val="36"/>
        </w:rPr>
        <w:t xml:space="preserve">Additional wreckage removal</w:t>
      </w:r>
    </w:p>
    <w:tbl>
      <w:tblPr>
        <w:tblW w:type="pct" w:w="5000%"/>
        <w:tblBorders>
          <w:top w:val="single" w:color="D3DBDD" w:sz="4"/>
          <w:left w:val="single" w:color="D3DBDD" w:sz="4"/>
          <w:bottom w:val="single" w:color="D3DBDD" w:sz="4"/>
          <w:right w:val="single" w:color="D3DBDD" w:sz="4"/>
          <w:insideH w:val="single" w:color="D3DBDD" w:sz="4"/>
          <w:insideV w:val="single" w:color="D3DBDD" w:sz="4"/>
        </w:tblBorders>
        <w:tblLayout w:type="fixed"/>
      </w:tblPr>
      <w:tblGrid>
        <w:gridCol w:w="2907"/>
        <w:gridCol w:w="1890"/>
        <w:gridCol w:w="1890"/>
        <w:gridCol w:w="1890"/>
        <w:gridCol w:w="1889"/>
      </w:tblGrid>
      <w:tr>
        <w:trPr>
          <w:cantSplit/>
          <w:tblHeader/>
        </w:trPr>
        <w:tc>
          <w:tcPr>
            <w:tcBorders>
              <w:bottom w:val="single" w:color="2F3437" w:sz="4"/>
            </w:tcBorders>
            <w:shd w:fill="2F3437" w:color="2F3437" w:val="clear"/>
            <w:tcMar>
              <w:top w:type="dxa" w:w="144"/>
              <w:left w:type="dxa" w:w="144"/>
              <w:bottom w:type="dxa" w:w="104"/>
              <w:right w:type="dxa" w:w="144"/>
            </w:tcMar>
            <w:vAlign w:val="center"/>
          </w:tcPr>
          <w:p>
            <w:pPr>
              <w:keepNext/>
              <w:jc w:val="left"/>
            </w:pPr>
            <w:r>
              <w:rPr>
                <w:rFonts w:ascii="Calibri" w:cs="Calibri" w:eastAsia="Calibri" w:hAnsi="Calibri"/>
                <w:b/>
                <w:bCs/>
                <w:color w:val="FFFFFF"/>
                <w:spacing w:val="20"/>
                <w:sz w:val="16"/>
                <w:szCs w:val="16"/>
              </w:rPr>
              <w:t xml:space="preserve">ITEM</w:t>
            </w:r>
          </w:p>
        </w:tc>
        <w:tc>
          <w:tcPr>
            <w:tcBorders>
              <w:bottom w:val="single" w:color="2F3437" w:sz="4"/>
            </w:tcBorders>
            <w:shd w:fill="2F3437" w:color="2F3437" w:val="clear"/>
            <w:tcMar>
              <w:top w:type="dxa" w:w="144"/>
              <w:left w:type="dxa" w:w="144"/>
              <w:bottom w:type="dxa" w:w="104"/>
              <w:right w:type="dxa" w:w="144"/>
            </w:tcMar>
            <w:vAlign w:val="center"/>
          </w:tcPr>
          <w:p>
            <w:pPr>
              <w:keepNext/>
              <w:jc w:val="left"/>
            </w:pPr>
            <w:r>
              <w:rPr>
                <w:rFonts w:ascii="Calibri" w:cs="Calibri" w:eastAsia="Calibri" w:hAnsi="Calibri"/>
                <w:b/>
                <w:bCs/>
                <w:color w:val="FFFFFF"/>
                <w:spacing w:val="20"/>
                <w:sz w:val="16"/>
                <w:szCs w:val="16"/>
              </w:rPr>
              <w:t xml:space="preserve">DISCOVERY INSURE PURPLE PLAN QTE-0000001 (CURRENT POLICY)</w:t>
            </w:r>
          </w:p>
        </w:tc>
        <w:tc>
          <w:tcPr>
            <w:tcBorders>
              <w:bottom w:val="single" w:color="2F3437" w:sz="4"/>
            </w:tcBorders>
            <w:shd w:fill="2F3437" w:color="2F3437" w:val="clear"/>
            <w:tcMar>
              <w:top w:type="dxa" w:w="144"/>
              <w:left w:type="dxa" w:w="144"/>
              <w:bottom w:type="dxa" w:w="104"/>
              <w:right w:type="dxa" w:w="144"/>
            </w:tcMar>
            <w:vAlign w:val="center"/>
          </w:tcPr>
          <w:p>
            <w:pPr>
              <w:keepNext/>
              <w:jc w:val="left"/>
            </w:pPr>
            <w:r>
              <w:rPr>
                <w:rFonts w:ascii="Calibri" w:cs="Calibri" w:eastAsia="Calibri" w:hAnsi="Calibri"/>
                <w:b/>
                <w:bCs/>
                <w:color w:val="FFFFFF"/>
                <w:spacing w:val="20"/>
                <w:sz w:val="16"/>
                <w:szCs w:val="16"/>
              </w:rPr>
              <w:t xml:space="preserve">BRYTE PERSONAL POLICY QTE-0000002</w:t>
            </w:r>
          </w:p>
        </w:tc>
        <w:tc>
          <w:tcPr>
            <w:tcBorders>
              <w:bottom w:val="single" w:color="2F3437" w:sz="4"/>
            </w:tcBorders>
            <w:shd w:fill="2F3437" w:color="2F3437" w:val="clear"/>
            <w:tcMar>
              <w:top w:type="dxa" w:w="144"/>
              <w:left w:type="dxa" w:w="144"/>
              <w:bottom w:type="dxa" w:w="104"/>
              <w:right w:type="dxa" w:w="144"/>
            </w:tcMar>
            <w:vAlign w:val="center"/>
          </w:tcPr>
          <w:p>
            <w:pPr>
              <w:keepNext/>
              <w:jc w:val="left"/>
            </w:pPr>
            <w:r>
              <w:rPr>
                <w:rFonts w:ascii="Calibri" w:cs="Calibri" w:eastAsia="Calibri" w:hAnsi="Calibri"/>
                <w:b/>
                <w:bCs/>
                <w:color w:val="FFFFFF"/>
                <w:spacing w:val="20"/>
                <w:sz w:val="16"/>
                <w:szCs w:val="16"/>
              </w:rPr>
              <w:t xml:space="preserve">MUA EXECUTIVE POLICY QTE-0000003</w:t>
            </w:r>
          </w:p>
        </w:tc>
        <w:tc>
          <w:tcPr>
            <w:tcBorders>
              <w:bottom w:val="single" w:color="2F3437" w:sz="4"/>
            </w:tcBorders>
            <w:shd w:fill="2F3437" w:color="2F3437" w:val="clear"/>
            <w:tcMar>
              <w:top w:type="dxa" w:w="144"/>
              <w:left w:type="dxa" w:w="144"/>
              <w:bottom w:type="dxa" w:w="104"/>
              <w:right w:type="dxa" w:w="144"/>
            </w:tcMar>
            <w:vAlign w:val="center"/>
          </w:tcPr>
          <w:p>
            <w:pPr>
              <w:keepNext/>
              <w:jc w:val="left"/>
            </w:pPr>
            <w:r>
              <w:rPr>
                <w:rFonts w:ascii="Calibri" w:cs="Calibri" w:eastAsia="Calibri" w:hAnsi="Calibri"/>
                <w:b/>
                <w:bCs/>
                <w:color w:val="FFFFFF"/>
                <w:spacing w:val="20"/>
                <w:sz w:val="16"/>
                <w:szCs w:val="16"/>
              </w:rPr>
              <w:t xml:space="preserve">APEX PINNACLE PERSONAL QTE-0000004</w:t>
            </w:r>
          </w:p>
        </w:tc>
      </w:tr>
      <w:tr>
        <w:trPr>
          <w:cantSplit/>
        </w:trPr>
        <w:tc>
          <w:tcPr>
            <w:tcMar>
              <w:top w:type="dxa" w:w="144"/>
              <w:left w:type="dxa" w:w="144"/>
              <w:bottom w:type="dxa" w:w="104"/>
              <w:right w:type="dxa" w:w="144"/>
            </w:tcMar>
          </w:tcPr>
          <w:p>
            <w:pPr>
              <w:spacing w:before="0" w:after="40"/>
              <w:jc w:val="left"/>
            </w:pPr>
            <w:r>
              <w:rPr>
                <w:rFonts w:ascii="Calibri" w:cs="Calibri" w:eastAsia="Calibri" w:hAnsi="Calibri"/>
                <w:b/>
                <w:bCs/>
                <w:i w:val="false"/>
                <w:iCs w:val="false"/>
                <w:color w:val="000000"/>
                <w:sz w:val="20"/>
                <w:szCs w:val="20"/>
              </w:rPr>
              <w:t xml:space="preserve">Sum Insured</w:t>
            </w:r>
          </w:p>
        </w:tc>
        <w:tc>
          <w:tcPr>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covered (No on vehicles and trailer); base R2,000</w:t>
            </w:r>
          </w:p>
        </w:tc>
        <w:tc>
          <w:tcPr>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Wreckage removal costs R20,000 (motor)</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bCs/>
                <w:i w:val="false"/>
                <w:iCs w:val="false"/>
                <w:color w:val="000000"/>
                <w:sz w:val="20"/>
                <w:szCs w:val="20"/>
              </w:rPr>
              <w:t xml:space="preserve">Premium</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covered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Included</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bCs/>
                <w:i w:val="false"/>
                <w:iCs w:val="false"/>
                <w:color w:val="000000"/>
                <w:sz w:val="20"/>
                <w:szCs w:val="20"/>
              </w:rPr>
              <w:t xml:space="preserve">Security Details</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bCs/>
                <w:i w:val="false"/>
                <w:iCs w:val="false"/>
                <w:color w:val="000000"/>
                <w:sz w:val="20"/>
                <w:szCs w:val="20"/>
              </w:rPr>
              <w:t xml:space="preserve">Wreckage removal</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Additional wreckage removal: No; standard wreckage removal R2,000</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Wreckage removal costs R20,000 under motor extensions</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  - Conditions</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Optional sum insured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r>
    </w:tbl>
    <w:p>
      <w:pPr>
        <w:spacing w:before="160" w:after="160"/>
      </w:pPr>
      <w:r>
        <w:t xml:space="preserve"/>
      </w:r>
    </w:p>
    <w:p>
      <w:pPr>
        <w:pStyle w:val="Heading1"/>
        <w:keepNext/>
        <w:keepLines/>
        <w:pBdr>
          <w:bottom w:val="single" w:color="D3DBDD" w:sz="4" w:space="4"/>
        </w:pBdr>
        <w:spacing w:before="360" w:after="160"/>
      </w:pPr>
      <w:r>
        <w:rPr>
          <w:rFonts w:ascii="Calibri" w:cs="Calibri" w:eastAsia="Calibri" w:hAnsi="Calibri"/>
          <w:b/>
          <w:bCs/>
          <w:color w:val="000000"/>
          <w:sz w:val="36"/>
          <w:szCs w:val="36"/>
        </w:rPr>
        <w:t xml:space="preserve">18. </w:t>
      </w:r>
      <w:r>
        <w:rPr>
          <w:rFonts w:ascii="Calibri" w:cs="Calibri" w:eastAsia="Calibri" w:hAnsi="Calibri"/>
          <w:b/>
          <w:bCs/>
          <w:color w:val="000000"/>
          <w:sz w:val="36"/>
          <w:szCs w:val="36"/>
        </w:rPr>
        <w:t xml:space="preserve">Car hire - number of days</w:t>
      </w:r>
    </w:p>
    <w:tbl>
      <w:tblPr>
        <w:tblW w:type="pct" w:w="5000%"/>
        <w:tblBorders>
          <w:top w:val="single" w:color="D3DBDD" w:sz="4"/>
          <w:left w:val="single" w:color="D3DBDD" w:sz="4"/>
          <w:bottom w:val="single" w:color="D3DBDD" w:sz="4"/>
          <w:right w:val="single" w:color="D3DBDD" w:sz="4"/>
          <w:insideH w:val="single" w:color="D3DBDD" w:sz="4"/>
          <w:insideV w:val="single" w:color="D3DBDD" w:sz="4"/>
        </w:tblBorders>
        <w:tblLayout w:type="fixed"/>
      </w:tblPr>
      <w:tblGrid>
        <w:gridCol w:w="2907"/>
        <w:gridCol w:w="1890"/>
        <w:gridCol w:w="1890"/>
        <w:gridCol w:w="1890"/>
        <w:gridCol w:w="1889"/>
      </w:tblGrid>
      <w:tr>
        <w:trPr>
          <w:cantSplit/>
          <w:tblHeader/>
        </w:trPr>
        <w:tc>
          <w:tcPr>
            <w:tcBorders>
              <w:bottom w:val="single" w:color="2F3437" w:sz="4"/>
            </w:tcBorders>
            <w:shd w:fill="2F3437" w:color="2F3437" w:val="clear"/>
            <w:tcMar>
              <w:top w:type="dxa" w:w="144"/>
              <w:left w:type="dxa" w:w="144"/>
              <w:bottom w:type="dxa" w:w="104"/>
              <w:right w:type="dxa" w:w="144"/>
            </w:tcMar>
            <w:vAlign w:val="center"/>
          </w:tcPr>
          <w:p>
            <w:pPr>
              <w:keepNext/>
              <w:jc w:val="left"/>
            </w:pPr>
            <w:r>
              <w:rPr>
                <w:rFonts w:ascii="Calibri" w:cs="Calibri" w:eastAsia="Calibri" w:hAnsi="Calibri"/>
                <w:b/>
                <w:bCs/>
                <w:color w:val="FFFFFF"/>
                <w:spacing w:val="20"/>
                <w:sz w:val="16"/>
                <w:szCs w:val="16"/>
              </w:rPr>
              <w:t xml:space="preserve">ITEM</w:t>
            </w:r>
          </w:p>
        </w:tc>
        <w:tc>
          <w:tcPr>
            <w:tcBorders>
              <w:bottom w:val="single" w:color="2F3437" w:sz="4"/>
            </w:tcBorders>
            <w:shd w:fill="2F3437" w:color="2F3437" w:val="clear"/>
            <w:tcMar>
              <w:top w:type="dxa" w:w="144"/>
              <w:left w:type="dxa" w:w="144"/>
              <w:bottom w:type="dxa" w:w="104"/>
              <w:right w:type="dxa" w:w="144"/>
            </w:tcMar>
            <w:vAlign w:val="center"/>
          </w:tcPr>
          <w:p>
            <w:pPr>
              <w:keepNext/>
              <w:jc w:val="left"/>
            </w:pPr>
            <w:r>
              <w:rPr>
                <w:rFonts w:ascii="Calibri" w:cs="Calibri" w:eastAsia="Calibri" w:hAnsi="Calibri"/>
                <w:b/>
                <w:bCs/>
                <w:color w:val="FFFFFF"/>
                <w:spacing w:val="20"/>
                <w:sz w:val="16"/>
                <w:szCs w:val="16"/>
              </w:rPr>
              <w:t xml:space="preserve">DISCOVERY INSURE PURPLE PLAN QTE-0000001 (CURRENT POLICY)</w:t>
            </w:r>
          </w:p>
        </w:tc>
        <w:tc>
          <w:tcPr>
            <w:tcBorders>
              <w:bottom w:val="single" w:color="2F3437" w:sz="4"/>
            </w:tcBorders>
            <w:shd w:fill="2F3437" w:color="2F3437" w:val="clear"/>
            <w:tcMar>
              <w:top w:type="dxa" w:w="144"/>
              <w:left w:type="dxa" w:w="144"/>
              <w:bottom w:type="dxa" w:w="104"/>
              <w:right w:type="dxa" w:w="144"/>
            </w:tcMar>
            <w:vAlign w:val="center"/>
          </w:tcPr>
          <w:p>
            <w:pPr>
              <w:keepNext/>
              <w:jc w:val="left"/>
            </w:pPr>
            <w:r>
              <w:rPr>
                <w:rFonts w:ascii="Calibri" w:cs="Calibri" w:eastAsia="Calibri" w:hAnsi="Calibri"/>
                <w:b/>
                <w:bCs/>
                <w:color w:val="FFFFFF"/>
                <w:spacing w:val="20"/>
                <w:sz w:val="16"/>
                <w:szCs w:val="16"/>
              </w:rPr>
              <w:t xml:space="preserve">BRYTE PERSONAL POLICY QTE-0000002</w:t>
            </w:r>
          </w:p>
        </w:tc>
        <w:tc>
          <w:tcPr>
            <w:tcBorders>
              <w:bottom w:val="single" w:color="2F3437" w:sz="4"/>
            </w:tcBorders>
            <w:shd w:fill="2F3437" w:color="2F3437" w:val="clear"/>
            <w:tcMar>
              <w:top w:type="dxa" w:w="144"/>
              <w:left w:type="dxa" w:w="144"/>
              <w:bottom w:type="dxa" w:w="104"/>
              <w:right w:type="dxa" w:w="144"/>
            </w:tcMar>
            <w:vAlign w:val="center"/>
          </w:tcPr>
          <w:p>
            <w:pPr>
              <w:keepNext/>
              <w:jc w:val="left"/>
            </w:pPr>
            <w:r>
              <w:rPr>
                <w:rFonts w:ascii="Calibri" w:cs="Calibri" w:eastAsia="Calibri" w:hAnsi="Calibri"/>
                <w:b/>
                <w:bCs/>
                <w:color w:val="FFFFFF"/>
                <w:spacing w:val="20"/>
                <w:sz w:val="16"/>
                <w:szCs w:val="16"/>
              </w:rPr>
              <w:t xml:space="preserve">MUA EXECUTIVE POLICY QTE-0000003</w:t>
            </w:r>
          </w:p>
        </w:tc>
        <w:tc>
          <w:tcPr>
            <w:tcBorders>
              <w:bottom w:val="single" w:color="2F3437" w:sz="4"/>
            </w:tcBorders>
            <w:shd w:fill="2F3437" w:color="2F3437" w:val="clear"/>
            <w:tcMar>
              <w:top w:type="dxa" w:w="144"/>
              <w:left w:type="dxa" w:w="144"/>
              <w:bottom w:type="dxa" w:w="104"/>
              <w:right w:type="dxa" w:w="144"/>
            </w:tcMar>
            <w:vAlign w:val="center"/>
          </w:tcPr>
          <w:p>
            <w:pPr>
              <w:keepNext/>
              <w:jc w:val="left"/>
            </w:pPr>
            <w:r>
              <w:rPr>
                <w:rFonts w:ascii="Calibri" w:cs="Calibri" w:eastAsia="Calibri" w:hAnsi="Calibri"/>
                <w:b/>
                <w:bCs/>
                <w:color w:val="FFFFFF"/>
                <w:spacing w:val="20"/>
                <w:sz w:val="16"/>
                <w:szCs w:val="16"/>
              </w:rPr>
              <w:t xml:space="preserve">APEX PINNACLE PERSONAL QTE-0000004</w:t>
            </w:r>
          </w:p>
        </w:tc>
      </w:tr>
      <w:tr>
        <w:trPr>
          <w:cantSplit/>
        </w:trPr>
        <w:tc>
          <w:tcPr>
            <w:tcMar>
              <w:top w:type="dxa" w:w="144"/>
              <w:left w:type="dxa" w:w="144"/>
              <w:bottom w:type="dxa" w:w="104"/>
              <w:right w:type="dxa" w:w="144"/>
            </w:tcMar>
          </w:tcPr>
          <w:p>
            <w:pPr>
              <w:spacing w:before="0" w:after="40"/>
              <w:jc w:val="left"/>
            </w:pPr>
            <w:r>
              <w:rPr>
                <w:rFonts w:ascii="Calibri" w:cs="Calibri" w:eastAsia="Calibri" w:hAnsi="Calibri"/>
                <w:b/>
                <w:bCs/>
                <w:i w:val="false"/>
                <w:iCs w:val="false"/>
                <w:color w:val="000000"/>
                <w:sz w:val="20"/>
                <w:szCs w:val="20"/>
              </w:rPr>
              <w:t xml:space="preserve">Sum Insured</w:t>
            </w:r>
          </w:p>
        </w:tc>
        <w:tc>
          <w:tcPr>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30 days</w:t>
            </w:r>
          </w:p>
        </w:tc>
        <w:tc>
          <w:tcPr>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covered</w:t>
            </w:r>
          </w:p>
        </w:tc>
        <w:tc>
          <w:tcPr>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30 days per vehicle</w:t>
            </w:r>
          </w:p>
        </w:tc>
        <w:tc>
          <w:tcPr>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45 days per vehicle</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bCs/>
                <w:i w:val="false"/>
                <w:iCs w:val="false"/>
                <w:color w:val="000000"/>
                <w:sz w:val="20"/>
                <w:szCs w:val="20"/>
              </w:rPr>
              <w:t xml:space="preserve">Premium</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R0.00 (included at no cost)</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covered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R70.00 monthly per vehicle (R140.00 total)</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R291.90 monthly (R121.23 + R170.67)</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bCs/>
                <w:i w:val="false"/>
                <w:iCs w:val="false"/>
                <w:color w:val="000000"/>
                <w:sz w:val="20"/>
                <w:szCs w:val="20"/>
              </w:rPr>
              <w:t xml:space="preserve">Security Details</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bCs/>
                <w:i w:val="false"/>
                <w:iCs w:val="false"/>
                <w:color w:val="000000"/>
                <w:sz w:val="20"/>
                <w:szCs w:val="20"/>
              </w:rPr>
              <w:t xml:space="preserve">Car hire period and category</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30 days, Toyota Corolla Auto or similar; 60 days not selected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 car hire selected (days: No; no category)</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30 days, Standard, on both vehicles</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45 days: VW Polo Group A, Toyota Group D</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  - Conditions</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Included as a benefit at no cost</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Optional 30 or 45 day extension (not taken)</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Selected on both vehicles</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Pinnacle vehicle hire value-added product</w:t>
            </w:r>
          </w:p>
        </w:tc>
      </w:tr>
    </w:tbl>
    <w:p>
      <w:pPr>
        <w:spacing w:before="160" w:after="160"/>
      </w:pPr>
      <w:r>
        <w:t xml:space="preserve"/>
      </w:r>
    </w:p>
    <w:p>
      <w:pPr>
        <w:pStyle w:val="Heading1"/>
        <w:keepNext/>
        <w:keepLines/>
        <w:pBdr>
          <w:bottom w:val="single" w:color="D3DBDD" w:sz="4" w:space="4"/>
        </w:pBdr>
        <w:spacing w:before="360" w:after="160"/>
      </w:pPr>
      <w:r>
        <w:rPr>
          <w:rFonts w:ascii="Calibri" w:cs="Calibri" w:eastAsia="Calibri" w:hAnsi="Calibri"/>
          <w:b/>
          <w:bCs/>
          <w:color w:val="000000"/>
          <w:sz w:val="36"/>
          <w:szCs w:val="36"/>
        </w:rPr>
        <w:t xml:space="preserve">19. </w:t>
      </w:r>
      <w:r>
        <w:rPr>
          <w:rFonts w:ascii="Calibri" w:cs="Calibri" w:eastAsia="Calibri" w:hAnsi="Calibri"/>
          <w:b/>
          <w:bCs/>
          <w:color w:val="000000"/>
          <w:sz w:val="36"/>
          <w:szCs w:val="36"/>
        </w:rPr>
        <w:t xml:space="preserve">Glitter</w:t>
      </w:r>
    </w:p>
    <w:tbl>
      <w:tblPr>
        <w:tblW w:type="pct" w:w="5000%"/>
        <w:tblBorders>
          <w:top w:val="single" w:color="D3DBDD" w:sz="4"/>
          <w:left w:val="single" w:color="D3DBDD" w:sz="4"/>
          <w:bottom w:val="single" w:color="D3DBDD" w:sz="4"/>
          <w:right w:val="single" w:color="D3DBDD" w:sz="4"/>
          <w:insideH w:val="single" w:color="D3DBDD" w:sz="4"/>
          <w:insideV w:val="single" w:color="D3DBDD" w:sz="4"/>
        </w:tblBorders>
        <w:tblLayout w:type="fixed"/>
      </w:tblPr>
      <w:tblGrid>
        <w:gridCol w:w="2907"/>
        <w:gridCol w:w="1890"/>
        <w:gridCol w:w="1890"/>
        <w:gridCol w:w="1890"/>
        <w:gridCol w:w="1889"/>
      </w:tblGrid>
      <w:tr>
        <w:trPr>
          <w:cantSplit/>
          <w:tblHeader/>
        </w:trPr>
        <w:tc>
          <w:tcPr>
            <w:tcBorders>
              <w:bottom w:val="single" w:color="2F3437" w:sz="4"/>
            </w:tcBorders>
            <w:shd w:fill="2F3437" w:color="2F3437" w:val="clear"/>
            <w:tcMar>
              <w:top w:type="dxa" w:w="144"/>
              <w:left w:type="dxa" w:w="144"/>
              <w:bottom w:type="dxa" w:w="104"/>
              <w:right w:type="dxa" w:w="144"/>
            </w:tcMar>
            <w:vAlign w:val="center"/>
          </w:tcPr>
          <w:p>
            <w:pPr>
              <w:keepNext/>
              <w:jc w:val="left"/>
            </w:pPr>
            <w:r>
              <w:rPr>
                <w:rFonts w:ascii="Calibri" w:cs="Calibri" w:eastAsia="Calibri" w:hAnsi="Calibri"/>
                <w:b/>
                <w:bCs/>
                <w:color w:val="FFFFFF"/>
                <w:spacing w:val="20"/>
                <w:sz w:val="16"/>
                <w:szCs w:val="16"/>
              </w:rPr>
              <w:t xml:space="preserve">ITEM</w:t>
            </w:r>
          </w:p>
        </w:tc>
        <w:tc>
          <w:tcPr>
            <w:tcBorders>
              <w:bottom w:val="single" w:color="2F3437" w:sz="4"/>
            </w:tcBorders>
            <w:shd w:fill="2F3437" w:color="2F3437" w:val="clear"/>
            <w:tcMar>
              <w:top w:type="dxa" w:w="144"/>
              <w:left w:type="dxa" w:w="144"/>
              <w:bottom w:type="dxa" w:w="104"/>
              <w:right w:type="dxa" w:w="144"/>
            </w:tcMar>
            <w:vAlign w:val="center"/>
          </w:tcPr>
          <w:p>
            <w:pPr>
              <w:keepNext/>
              <w:jc w:val="left"/>
            </w:pPr>
            <w:r>
              <w:rPr>
                <w:rFonts w:ascii="Calibri" w:cs="Calibri" w:eastAsia="Calibri" w:hAnsi="Calibri"/>
                <w:b/>
                <w:bCs/>
                <w:color w:val="FFFFFF"/>
                <w:spacing w:val="20"/>
                <w:sz w:val="16"/>
                <w:szCs w:val="16"/>
              </w:rPr>
              <w:t xml:space="preserve">DISCOVERY INSURE PURPLE PLAN QTE-0000001 (CURRENT POLICY)</w:t>
            </w:r>
          </w:p>
        </w:tc>
        <w:tc>
          <w:tcPr>
            <w:tcBorders>
              <w:bottom w:val="single" w:color="2F3437" w:sz="4"/>
            </w:tcBorders>
            <w:shd w:fill="2F3437" w:color="2F3437" w:val="clear"/>
            <w:tcMar>
              <w:top w:type="dxa" w:w="144"/>
              <w:left w:type="dxa" w:w="144"/>
              <w:bottom w:type="dxa" w:w="104"/>
              <w:right w:type="dxa" w:w="144"/>
            </w:tcMar>
            <w:vAlign w:val="center"/>
          </w:tcPr>
          <w:p>
            <w:pPr>
              <w:keepNext/>
              <w:jc w:val="left"/>
            </w:pPr>
            <w:r>
              <w:rPr>
                <w:rFonts w:ascii="Calibri" w:cs="Calibri" w:eastAsia="Calibri" w:hAnsi="Calibri"/>
                <w:b/>
                <w:bCs/>
                <w:color w:val="FFFFFF"/>
                <w:spacing w:val="20"/>
                <w:sz w:val="16"/>
                <w:szCs w:val="16"/>
              </w:rPr>
              <w:t xml:space="preserve">BRYTE PERSONAL POLICY QTE-0000002</w:t>
            </w:r>
          </w:p>
        </w:tc>
        <w:tc>
          <w:tcPr>
            <w:tcBorders>
              <w:bottom w:val="single" w:color="2F3437" w:sz="4"/>
            </w:tcBorders>
            <w:shd w:fill="2F3437" w:color="2F3437" w:val="clear"/>
            <w:tcMar>
              <w:top w:type="dxa" w:w="144"/>
              <w:left w:type="dxa" w:w="144"/>
              <w:bottom w:type="dxa" w:w="104"/>
              <w:right w:type="dxa" w:w="144"/>
            </w:tcMar>
            <w:vAlign w:val="center"/>
          </w:tcPr>
          <w:p>
            <w:pPr>
              <w:keepNext/>
              <w:jc w:val="left"/>
            </w:pPr>
            <w:r>
              <w:rPr>
                <w:rFonts w:ascii="Calibri" w:cs="Calibri" w:eastAsia="Calibri" w:hAnsi="Calibri"/>
                <w:b/>
                <w:bCs/>
                <w:color w:val="FFFFFF"/>
                <w:spacing w:val="20"/>
                <w:sz w:val="16"/>
                <w:szCs w:val="16"/>
              </w:rPr>
              <w:t xml:space="preserve">MUA EXECUTIVE POLICY QTE-0000003</w:t>
            </w:r>
          </w:p>
        </w:tc>
        <w:tc>
          <w:tcPr>
            <w:tcBorders>
              <w:bottom w:val="single" w:color="2F3437" w:sz="4"/>
            </w:tcBorders>
            <w:shd w:fill="2F3437" w:color="2F3437" w:val="clear"/>
            <w:tcMar>
              <w:top w:type="dxa" w:w="144"/>
              <w:left w:type="dxa" w:w="144"/>
              <w:bottom w:type="dxa" w:w="104"/>
              <w:right w:type="dxa" w:w="144"/>
            </w:tcMar>
            <w:vAlign w:val="center"/>
          </w:tcPr>
          <w:p>
            <w:pPr>
              <w:keepNext/>
              <w:jc w:val="left"/>
            </w:pPr>
            <w:r>
              <w:rPr>
                <w:rFonts w:ascii="Calibri" w:cs="Calibri" w:eastAsia="Calibri" w:hAnsi="Calibri"/>
                <w:b/>
                <w:bCs/>
                <w:color w:val="FFFFFF"/>
                <w:spacing w:val="20"/>
                <w:sz w:val="16"/>
                <w:szCs w:val="16"/>
              </w:rPr>
              <w:t xml:space="preserve">APEX PINNACLE PERSONAL QTE-0000004</w:t>
            </w:r>
          </w:p>
        </w:tc>
      </w:tr>
      <w:tr>
        <w:trPr>
          <w:cantSplit/>
        </w:trPr>
        <w:tc>
          <w:tcPr>
            <w:tcMar>
              <w:top w:type="dxa" w:w="144"/>
              <w:left w:type="dxa" w:w="144"/>
              <w:bottom w:type="dxa" w:w="104"/>
              <w:right w:type="dxa" w:w="144"/>
            </w:tcMar>
          </w:tcPr>
          <w:p>
            <w:pPr>
              <w:spacing w:before="0" w:after="40"/>
              <w:jc w:val="left"/>
            </w:pPr>
            <w:r>
              <w:rPr>
                <w:rFonts w:ascii="Calibri" w:cs="Calibri" w:eastAsia="Calibri" w:hAnsi="Calibri"/>
                <w:b/>
                <w:bCs/>
                <w:i w:val="false"/>
                <w:iCs w:val="false"/>
                <w:color w:val="000000"/>
                <w:sz w:val="20"/>
                <w:szCs w:val="20"/>
              </w:rPr>
              <w:t xml:space="preserve">Sum Insured</w:t>
            </w:r>
          </w:p>
        </w:tc>
        <w:tc>
          <w:tcPr>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Watercraft R116,500</w:t>
            </w:r>
          </w:p>
        </w:tc>
        <w:tc>
          <w:tcPr>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Watercraft R116,500</w:t>
            </w:r>
          </w:p>
        </w:tc>
        <w:tc>
          <w:tcPr>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Watercraft R116,500</w:t>
            </w:r>
          </w:p>
        </w:tc>
        <w:tc>
          <w:tcPr>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Watercraft R116,500</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bCs/>
                <w:i w:val="false"/>
                <w:iCs w:val="false"/>
                <w:color w:val="000000"/>
                <w:sz w:val="20"/>
                <w:szCs w:val="20"/>
              </w:rPr>
              <w:t xml:space="preserve">Premium</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R289.63</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R463.85</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R238.34 monthly</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R289.63</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bCs/>
                <w:i w:val="false"/>
                <w:iCs w:val="false"/>
                <w:color w:val="000000"/>
                <w:sz w:val="20"/>
                <w:szCs w:val="20"/>
              </w:rPr>
              <w:t xml:space="preserve">Security Details</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Glitter paint: No</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Glitter: No</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Glitter/metallic finish: blank</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bCs/>
                <w:i w:val="false"/>
                <w:iCs w:val="false"/>
                <w:color w:val="000000"/>
                <w:sz w:val="20"/>
                <w:szCs w:val="20"/>
              </w:rPr>
              <w:t xml:space="preserve">Glitter / metallic finish on watercraft</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r>
    </w:tbl>
    <w:p>
      <w:pPr>
        <w:spacing w:before="160" w:after="160"/>
      </w:pPr>
      <w:r>
        <w:t xml:space="preserve"/>
      </w:r>
    </w:p>
    <w:p>
      <w:pPr>
        <w:pStyle w:val="Heading1"/>
        <w:keepNext/>
        <w:keepLines/>
        <w:pBdr>
          <w:bottom w:val="single" w:color="D3DBDD" w:sz="4" w:space="4"/>
        </w:pBdr>
        <w:spacing w:before="360" w:after="160"/>
      </w:pPr>
      <w:r>
        <w:rPr>
          <w:rFonts w:ascii="Calibri" w:cs="Calibri" w:eastAsia="Calibri" w:hAnsi="Calibri"/>
          <w:b/>
          <w:bCs/>
          <w:color w:val="000000"/>
          <w:sz w:val="36"/>
          <w:szCs w:val="36"/>
        </w:rPr>
        <w:t xml:space="preserve">20. </w:t>
      </w:r>
      <w:r>
        <w:rPr>
          <w:rFonts w:ascii="Calibri" w:cs="Calibri" w:eastAsia="Calibri" w:hAnsi="Calibri"/>
          <w:b/>
          <w:bCs/>
          <w:color w:val="000000"/>
          <w:sz w:val="36"/>
          <w:szCs w:val="36"/>
        </w:rPr>
        <w:t xml:space="preserve">Third party additional sum insured</w:t>
      </w:r>
    </w:p>
    <w:tbl>
      <w:tblPr>
        <w:tblW w:type="pct" w:w="5000%"/>
        <w:tblBorders>
          <w:top w:val="single" w:color="D3DBDD" w:sz="4"/>
          <w:left w:val="single" w:color="D3DBDD" w:sz="4"/>
          <w:bottom w:val="single" w:color="D3DBDD" w:sz="4"/>
          <w:right w:val="single" w:color="D3DBDD" w:sz="4"/>
          <w:insideH w:val="single" w:color="D3DBDD" w:sz="4"/>
          <w:insideV w:val="single" w:color="D3DBDD" w:sz="4"/>
        </w:tblBorders>
        <w:tblLayout w:type="fixed"/>
      </w:tblPr>
      <w:tblGrid>
        <w:gridCol w:w="2907"/>
        <w:gridCol w:w="1890"/>
        <w:gridCol w:w="1890"/>
        <w:gridCol w:w="1890"/>
        <w:gridCol w:w="1889"/>
      </w:tblGrid>
      <w:tr>
        <w:trPr>
          <w:cantSplit/>
          <w:tblHeader/>
        </w:trPr>
        <w:tc>
          <w:tcPr>
            <w:tcBorders>
              <w:bottom w:val="single" w:color="2F3437" w:sz="4"/>
            </w:tcBorders>
            <w:shd w:fill="2F3437" w:color="2F3437" w:val="clear"/>
            <w:tcMar>
              <w:top w:type="dxa" w:w="144"/>
              <w:left w:type="dxa" w:w="144"/>
              <w:bottom w:type="dxa" w:w="104"/>
              <w:right w:type="dxa" w:w="144"/>
            </w:tcMar>
            <w:vAlign w:val="center"/>
          </w:tcPr>
          <w:p>
            <w:pPr>
              <w:keepNext/>
              <w:jc w:val="left"/>
            </w:pPr>
            <w:r>
              <w:rPr>
                <w:rFonts w:ascii="Calibri" w:cs="Calibri" w:eastAsia="Calibri" w:hAnsi="Calibri"/>
                <w:b/>
                <w:bCs/>
                <w:color w:val="FFFFFF"/>
                <w:spacing w:val="20"/>
                <w:sz w:val="16"/>
                <w:szCs w:val="16"/>
              </w:rPr>
              <w:t xml:space="preserve">ITEM</w:t>
            </w:r>
          </w:p>
        </w:tc>
        <w:tc>
          <w:tcPr>
            <w:tcBorders>
              <w:bottom w:val="single" w:color="2F3437" w:sz="4"/>
            </w:tcBorders>
            <w:shd w:fill="2F3437" w:color="2F3437" w:val="clear"/>
            <w:tcMar>
              <w:top w:type="dxa" w:w="144"/>
              <w:left w:type="dxa" w:w="144"/>
              <w:bottom w:type="dxa" w:w="104"/>
              <w:right w:type="dxa" w:w="144"/>
            </w:tcMar>
            <w:vAlign w:val="center"/>
          </w:tcPr>
          <w:p>
            <w:pPr>
              <w:keepNext/>
              <w:jc w:val="left"/>
            </w:pPr>
            <w:r>
              <w:rPr>
                <w:rFonts w:ascii="Calibri" w:cs="Calibri" w:eastAsia="Calibri" w:hAnsi="Calibri"/>
                <w:b/>
                <w:bCs/>
                <w:color w:val="FFFFFF"/>
                <w:spacing w:val="20"/>
                <w:sz w:val="16"/>
                <w:szCs w:val="16"/>
              </w:rPr>
              <w:t xml:space="preserve">DISCOVERY INSURE PURPLE PLAN QTE-0000001 (CURRENT POLICY)</w:t>
            </w:r>
          </w:p>
        </w:tc>
        <w:tc>
          <w:tcPr>
            <w:tcBorders>
              <w:bottom w:val="single" w:color="2F3437" w:sz="4"/>
            </w:tcBorders>
            <w:shd w:fill="2F3437" w:color="2F3437" w:val="clear"/>
            <w:tcMar>
              <w:top w:type="dxa" w:w="144"/>
              <w:left w:type="dxa" w:w="144"/>
              <w:bottom w:type="dxa" w:w="104"/>
              <w:right w:type="dxa" w:w="144"/>
            </w:tcMar>
            <w:vAlign w:val="center"/>
          </w:tcPr>
          <w:p>
            <w:pPr>
              <w:keepNext/>
              <w:jc w:val="left"/>
            </w:pPr>
            <w:r>
              <w:rPr>
                <w:rFonts w:ascii="Calibri" w:cs="Calibri" w:eastAsia="Calibri" w:hAnsi="Calibri"/>
                <w:b/>
                <w:bCs/>
                <w:color w:val="FFFFFF"/>
                <w:spacing w:val="20"/>
                <w:sz w:val="16"/>
                <w:szCs w:val="16"/>
              </w:rPr>
              <w:t xml:space="preserve">BRYTE PERSONAL POLICY QTE-0000002</w:t>
            </w:r>
          </w:p>
        </w:tc>
        <w:tc>
          <w:tcPr>
            <w:tcBorders>
              <w:bottom w:val="single" w:color="2F3437" w:sz="4"/>
            </w:tcBorders>
            <w:shd w:fill="2F3437" w:color="2F3437" w:val="clear"/>
            <w:tcMar>
              <w:top w:type="dxa" w:w="144"/>
              <w:left w:type="dxa" w:w="144"/>
              <w:bottom w:type="dxa" w:w="104"/>
              <w:right w:type="dxa" w:w="144"/>
            </w:tcMar>
            <w:vAlign w:val="center"/>
          </w:tcPr>
          <w:p>
            <w:pPr>
              <w:keepNext/>
              <w:jc w:val="left"/>
            </w:pPr>
            <w:r>
              <w:rPr>
                <w:rFonts w:ascii="Calibri" w:cs="Calibri" w:eastAsia="Calibri" w:hAnsi="Calibri"/>
                <w:b/>
                <w:bCs/>
                <w:color w:val="FFFFFF"/>
                <w:spacing w:val="20"/>
                <w:sz w:val="16"/>
                <w:szCs w:val="16"/>
              </w:rPr>
              <w:t xml:space="preserve">MUA EXECUTIVE POLICY QTE-0000003</w:t>
            </w:r>
          </w:p>
        </w:tc>
        <w:tc>
          <w:tcPr>
            <w:tcBorders>
              <w:bottom w:val="single" w:color="2F3437" w:sz="4"/>
            </w:tcBorders>
            <w:shd w:fill="2F3437" w:color="2F3437" w:val="clear"/>
            <w:tcMar>
              <w:top w:type="dxa" w:w="144"/>
              <w:left w:type="dxa" w:w="144"/>
              <w:bottom w:type="dxa" w:w="104"/>
              <w:right w:type="dxa" w:w="144"/>
            </w:tcMar>
            <w:vAlign w:val="center"/>
          </w:tcPr>
          <w:p>
            <w:pPr>
              <w:keepNext/>
              <w:jc w:val="left"/>
            </w:pPr>
            <w:r>
              <w:rPr>
                <w:rFonts w:ascii="Calibri" w:cs="Calibri" w:eastAsia="Calibri" w:hAnsi="Calibri"/>
                <w:b/>
                <w:bCs/>
                <w:color w:val="FFFFFF"/>
                <w:spacing w:val="20"/>
                <w:sz w:val="16"/>
                <w:szCs w:val="16"/>
              </w:rPr>
              <w:t xml:space="preserve">APEX PINNACLE PERSONAL QTE-0000004</w:t>
            </w:r>
          </w:p>
        </w:tc>
      </w:tr>
      <w:tr>
        <w:trPr>
          <w:cantSplit/>
        </w:trPr>
        <w:tc>
          <w:tcPr>
            <w:tcMar>
              <w:top w:type="dxa" w:w="144"/>
              <w:left w:type="dxa" w:w="144"/>
              <w:bottom w:type="dxa" w:w="104"/>
              <w:right w:type="dxa" w:w="144"/>
            </w:tcMar>
          </w:tcPr>
          <w:p>
            <w:pPr>
              <w:spacing w:before="0" w:after="40"/>
              <w:jc w:val="left"/>
            </w:pPr>
            <w:r>
              <w:rPr>
                <w:rFonts w:ascii="Calibri" w:cs="Calibri" w:eastAsia="Calibri" w:hAnsi="Calibri"/>
                <w:b/>
                <w:bCs/>
                <w:i w:val="false"/>
                <w:iCs w:val="false"/>
                <w:color w:val="000000"/>
                <w:sz w:val="20"/>
                <w:szCs w:val="20"/>
              </w:rPr>
              <w:t xml:space="preserve">Sum Insured</w:t>
            </w:r>
          </w:p>
        </w:tc>
        <w:tc>
          <w:tcPr>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Personal liability R50,000,000</w:t>
            </w:r>
          </w:p>
        </w:tc>
        <w:tc>
          <w:tcPr>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Watercraft: Not covered; motor additional third party R5,000,000 per vehicle; passenger additional R1,000,000</w:t>
            </w:r>
          </w:p>
        </w:tc>
        <w:tc>
          <w:tcPr>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Legal liability R30,000,000</w:t>
            </w:r>
          </w:p>
        </w:tc>
        <w:tc>
          <w:tcPr>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Watercraft liability R1,000,000 per claim; Personal legal liability R1,000,000; Extended R40,000,000 (schedule shows R20,000,000 per effective-date entry)</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bCs/>
                <w:i w:val="false"/>
                <w:iCs w:val="false"/>
                <w:color w:val="000000"/>
                <w:sz w:val="20"/>
                <w:szCs w:val="20"/>
              </w:rPr>
              <w:t xml:space="preserve">Premium</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R50.00</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Watercraft R463.85 (section); additional extensions not separately priced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R10.00 monthly</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Personal R5.00; Extended R30.00</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bCs/>
                <w:i w:val="false"/>
                <w:iCs w:val="false"/>
                <w:color w:val="000000"/>
                <w:sz w:val="20"/>
                <w:szCs w:val="20"/>
              </w:rPr>
              <w:t xml:space="preserve">Security Details</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bCs/>
                <w:i w:val="false"/>
                <w:iCs w:val="false"/>
                <w:color w:val="000000"/>
                <w:sz w:val="20"/>
                <w:szCs w:val="20"/>
              </w:rPr>
              <w:t xml:space="preserve">Watercraft third party additional sum insured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Liability R1,000,000 per claim or series arising from one event</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  - Conditions</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Optional extension</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bCs/>
                <w:i w:val="false"/>
                <w:iCs w:val="false"/>
                <w:color w:val="000000"/>
                <w:sz w:val="20"/>
                <w:szCs w:val="20"/>
              </w:rPr>
              <w:t xml:space="preserve">Other liability top-ups</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Personal liability R50,000,000 covers the whole plan</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Additional third party liability Yes R5,000,000 on each vehicle; extended personal legal responsibility R10,000,000</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Liability R30,000,000</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Extended personal legal liability R40,000,000</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  - Conditions</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Passenger additional sum insured Yes R1,000,000</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Claims-made basis</w:t>
            </w:r>
          </w:p>
        </w:tc>
      </w:tr>
    </w:tbl>
    <w:p>
      <w:pPr>
        <w:spacing w:before="160" w:after="160"/>
      </w:pPr>
      <w:r>
        <w:t xml:space="preserve"/>
      </w:r>
    </w:p>
    <w:p>
      <w:pPr>
        <w:pStyle w:val="Heading1"/>
        <w:keepNext/>
        <w:keepLines/>
        <w:pBdr>
          <w:bottom w:val="single" w:color="D3DBDD" w:sz="4" w:space="4"/>
        </w:pBdr>
        <w:spacing w:before="360" w:after="160"/>
      </w:pPr>
      <w:r>
        <w:rPr>
          <w:rFonts w:ascii="Calibri" w:cs="Calibri" w:eastAsia="Calibri" w:hAnsi="Calibri"/>
          <w:b/>
          <w:bCs/>
          <w:color w:val="000000"/>
          <w:sz w:val="36"/>
          <w:szCs w:val="36"/>
        </w:rPr>
        <w:t xml:space="preserve">21. </w:t>
      </w:r>
      <w:r>
        <w:rPr>
          <w:rFonts w:ascii="Calibri" w:cs="Calibri" w:eastAsia="Calibri" w:hAnsi="Calibri"/>
          <w:b/>
          <w:bCs/>
          <w:color w:val="000000"/>
          <w:sz w:val="36"/>
          <w:szCs w:val="36"/>
        </w:rPr>
        <w:t xml:space="preserve">Fire-fighting charges</w:t>
      </w:r>
    </w:p>
    <w:tbl>
      <w:tblPr>
        <w:tblW w:type="pct" w:w="5000%"/>
        <w:tblBorders>
          <w:top w:val="single" w:color="D3DBDD" w:sz="4"/>
          <w:left w:val="single" w:color="D3DBDD" w:sz="4"/>
          <w:bottom w:val="single" w:color="D3DBDD" w:sz="4"/>
          <w:right w:val="single" w:color="D3DBDD" w:sz="4"/>
          <w:insideH w:val="single" w:color="D3DBDD" w:sz="4"/>
          <w:insideV w:val="single" w:color="D3DBDD" w:sz="4"/>
        </w:tblBorders>
        <w:tblLayout w:type="fixed"/>
      </w:tblPr>
      <w:tblGrid>
        <w:gridCol w:w="2907"/>
        <w:gridCol w:w="1890"/>
        <w:gridCol w:w="1890"/>
        <w:gridCol w:w="1890"/>
        <w:gridCol w:w="1889"/>
      </w:tblGrid>
      <w:tr>
        <w:trPr>
          <w:cantSplit/>
          <w:tblHeader/>
        </w:trPr>
        <w:tc>
          <w:tcPr>
            <w:tcBorders>
              <w:bottom w:val="single" w:color="2F3437" w:sz="4"/>
            </w:tcBorders>
            <w:shd w:fill="2F3437" w:color="2F3437" w:val="clear"/>
            <w:tcMar>
              <w:top w:type="dxa" w:w="144"/>
              <w:left w:type="dxa" w:w="144"/>
              <w:bottom w:type="dxa" w:w="104"/>
              <w:right w:type="dxa" w:w="144"/>
            </w:tcMar>
            <w:vAlign w:val="center"/>
          </w:tcPr>
          <w:p>
            <w:pPr>
              <w:keepNext/>
              <w:jc w:val="left"/>
            </w:pPr>
            <w:r>
              <w:rPr>
                <w:rFonts w:ascii="Calibri" w:cs="Calibri" w:eastAsia="Calibri" w:hAnsi="Calibri"/>
                <w:b/>
                <w:bCs/>
                <w:color w:val="FFFFFF"/>
                <w:spacing w:val="20"/>
                <w:sz w:val="16"/>
                <w:szCs w:val="16"/>
              </w:rPr>
              <w:t xml:space="preserve">ITEM</w:t>
            </w:r>
          </w:p>
        </w:tc>
        <w:tc>
          <w:tcPr>
            <w:tcBorders>
              <w:bottom w:val="single" w:color="2F3437" w:sz="4"/>
            </w:tcBorders>
            <w:shd w:fill="2F3437" w:color="2F3437" w:val="clear"/>
            <w:tcMar>
              <w:top w:type="dxa" w:w="144"/>
              <w:left w:type="dxa" w:w="144"/>
              <w:bottom w:type="dxa" w:w="104"/>
              <w:right w:type="dxa" w:w="144"/>
            </w:tcMar>
            <w:vAlign w:val="center"/>
          </w:tcPr>
          <w:p>
            <w:pPr>
              <w:keepNext/>
              <w:jc w:val="left"/>
            </w:pPr>
            <w:r>
              <w:rPr>
                <w:rFonts w:ascii="Calibri" w:cs="Calibri" w:eastAsia="Calibri" w:hAnsi="Calibri"/>
                <w:b/>
                <w:bCs/>
                <w:color w:val="FFFFFF"/>
                <w:spacing w:val="20"/>
                <w:sz w:val="16"/>
                <w:szCs w:val="16"/>
              </w:rPr>
              <w:t xml:space="preserve">DISCOVERY INSURE PURPLE PLAN QTE-0000001 (CURRENT POLICY)</w:t>
            </w:r>
          </w:p>
        </w:tc>
        <w:tc>
          <w:tcPr>
            <w:tcBorders>
              <w:bottom w:val="single" w:color="2F3437" w:sz="4"/>
            </w:tcBorders>
            <w:shd w:fill="2F3437" w:color="2F3437" w:val="clear"/>
            <w:tcMar>
              <w:top w:type="dxa" w:w="144"/>
              <w:left w:type="dxa" w:w="144"/>
              <w:bottom w:type="dxa" w:w="104"/>
              <w:right w:type="dxa" w:w="144"/>
            </w:tcMar>
            <w:vAlign w:val="center"/>
          </w:tcPr>
          <w:p>
            <w:pPr>
              <w:keepNext/>
              <w:jc w:val="left"/>
            </w:pPr>
            <w:r>
              <w:rPr>
                <w:rFonts w:ascii="Calibri" w:cs="Calibri" w:eastAsia="Calibri" w:hAnsi="Calibri"/>
                <w:b/>
                <w:bCs/>
                <w:color w:val="FFFFFF"/>
                <w:spacing w:val="20"/>
                <w:sz w:val="16"/>
                <w:szCs w:val="16"/>
              </w:rPr>
              <w:t xml:space="preserve">BRYTE PERSONAL POLICY QTE-0000002</w:t>
            </w:r>
          </w:p>
        </w:tc>
        <w:tc>
          <w:tcPr>
            <w:tcBorders>
              <w:bottom w:val="single" w:color="2F3437" w:sz="4"/>
            </w:tcBorders>
            <w:shd w:fill="2F3437" w:color="2F3437" w:val="clear"/>
            <w:tcMar>
              <w:top w:type="dxa" w:w="144"/>
              <w:left w:type="dxa" w:w="144"/>
              <w:bottom w:type="dxa" w:w="104"/>
              <w:right w:type="dxa" w:w="144"/>
            </w:tcMar>
            <w:vAlign w:val="center"/>
          </w:tcPr>
          <w:p>
            <w:pPr>
              <w:keepNext/>
              <w:jc w:val="left"/>
            </w:pPr>
            <w:r>
              <w:rPr>
                <w:rFonts w:ascii="Calibri" w:cs="Calibri" w:eastAsia="Calibri" w:hAnsi="Calibri"/>
                <w:b/>
                <w:bCs/>
                <w:color w:val="FFFFFF"/>
                <w:spacing w:val="20"/>
                <w:sz w:val="16"/>
                <w:szCs w:val="16"/>
              </w:rPr>
              <w:t xml:space="preserve">MUA EXECUTIVE POLICY QTE-0000003</w:t>
            </w:r>
          </w:p>
        </w:tc>
        <w:tc>
          <w:tcPr>
            <w:tcBorders>
              <w:bottom w:val="single" w:color="2F3437" w:sz="4"/>
            </w:tcBorders>
            <w:shd w:fill="2F3437" w:color="2F3437" w:val="clear"/>
            <w:tcMar>
              <w:top w:type="dxa" w:w="144"/>
              <w:left w:type="dxa" w:w="144"/>
              <w:bottom w:type="dxa" w:w="104"/>
              <w:right w:type="dxa" w:w="144"/>
            </w:tcMar>
            <w:vAlign w:val="center"/>
          </w:tcPr>
          <w:p>
            <w:pPr>
              <w:keepNext/>
              <w:jc w:val="left"/>
            </w:pPr>
            <w:r>
              <w:rPr>
                <w:rFonts w:ascii="Calibri" w:cs="Calibri" w:eastAsia="Calibri" w:hAnsi="Calibri"/>
                <w:b/>
                <w:bCs/>
                <w:color w:val="FFFFFF"/>
                <w:spacing w:val="20"/>
                <w:sz w:val="16"/>
                <w:szCs w:val="16"/>
              </w:rPr>
              <w:t xml:space="preserve">APEX PINNACLE PERSONAL QTE-0000004</w:t>
            </w:r>
          </w:p>
        </w:tc>
      </w:tr>
      <w:tr>
        <w:trPr>
          <w:cantSplit/>
        </w:trPr>
        <w:tc>
          <w:tcPr>
            <w:tcMar>
              <w:top w:type="dxa" w:w="144"/>
              <w:left w:type="dxa" w:w="144"/>
              <w:bottom w:type="dxa" w:w="104"/>
              <w:right w:type="dxa" w:w="144"/>
            </w:tcMar>
          </w:tcPr>
          <w:p>
            <w:pPr>
              <w:spacing w:before="0" w:after="40"/>
              <w:jc w:val="left"/>
            </w:pPr>
            <w:r>
              <w:rPr>
                <w:rFonts w:ascii="Calibri" w:cs="Calibri" w:eastAsia="Calibri" w:hAnsi="Calibri"/>
                <w:b/>
                <w:bCs/>
                <w:i w:val="false"/>
                <w:iCs w:val="false"/>
                <w:color w:val="000000"/>
                <w:sz w:val="20"/>
                <w:szCs w:val="20"/>
              </w:rPr>
              <w:t xml:space="preserve">Sum Insured</w:t>
            </w:r>
          </w:p>
        </w:tc>
        <w:tc>
          <w:tcPr>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Buildings: no limit; Contents: reasonable; general fire extinguishing R50,000</w:t>
            </w:r>
          </w:p>
        </w:tc>
        <w:tc>
          <w:tcPr>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Buildings R20,000; Motor R20,000</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bCs/>
                <w:i w:val="false"/>
                <w:iCs w:val="false"/>
                <w:color w:val="000000"/>
                <w:sz w:val="20"/>
                <w:szCs w:val="20"/>
              </w:rPr>
              <w:t xml:space="preserve">Premium</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Included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Included</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bCs/>
                <w:i w:val="false"/>
                <w:iCs w:val="false"/>
                <w:color w:val="000000"/>
                <w:sz w:val="20"/>
                <w:szCs w:val="20"/>
              </w:rPr>
              <w:t xml:space="preserve">Security Details</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bCs/>
                <w:i w:val="false"/>
                <w:iCs w:val="false"/>
                <w:color w:val="000000"/>
                <w:sz w:val="20"/>
                <w:szCs w:val="20"/>
              </w:rPr>
              <w:t xml:space="preserve">Fire-fighting / extinguishing charges</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Buildings: no limit; Contents: reasonable; fire extinguishing and water bombing (prevention) R50,000</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Fire extinguishing charges R20,000 (Buildings); fire extinguishing costs R20,000 (Motor)</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  - Conditions</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Fire-related claims excess is R10,000 or as per the policy, whichever is higher</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r>
    </w:tbl>
    <w:p>
      <w:pPr>
        <w:spacing w:before="160" w:after="160"/>
      </w:pPr>
      <w:r>
        <w:t xml:space="preserve"/>
      </w:r>
    </w:p>
    <w:p>
      <w:pPr>
        <w:pStyle w:val="Heading1"/>
        <w:keepNext/>
        <w:keepLines/>
        <w:pBdr>
          <w:bottom w:val="single" w:color="D3DBDD" w:sz="4" w:space="4"/>
        </w:pBdr>
        <w:spacing w:before="360" w:after="160"/>
      </w:pPr>
      <w:r>
        <w:rPr>
          <w:rFonts w:ascii="Calibri" w:cs="Calibri" w:eastAsia="Calibri" w:hAnsi="Calibri"/>
          <w:b/>
          <w:bCs/>
          <w:color w:val="000000"/>
          <w:sz w:val="36"/>
          <w:szCs w:val="36"/>
        </w:rPr>
        <w:t xml:space="preserve">22. </w:t>
      </w:r>
      <w:r>
        <w:rPr>
          <w:rFonts w:ascii="Calibri" w:cs="Calibri" w:eastAsia="Calibri" w:hAnsi="Calibri"/>
          <w:b/>
          <w:bCs/>
          <w:color w:val="000000"/>
          <w:sz w:val="36"/>
          <w:szCs w:val="36"/>
        </w:rPr>
        <w:t xml:space="preserve">Pinnacle identity secure</w:t>
      </w:r>
    </w:p>
    <w:tbl>
      <w:tblPr>
        <w:tblW w:type="pct" w:w="5000%"/>
        <w:tblBorders>
          <w:top w:val="single" w:color="D3DBDD" w:sz="4"/>
          <w:left w:val="single" w:color="D3DBDD" w:sz="4"/>
          <w:bottom w:val="single" w:color="D3DBDD" w:sz="4"/>
          <w:right w:val="single" w:color="D3DBDD" w:sz="4"/>
          <w:insideH w:val="single" w:color="D3DBDD" w:sz="4"/>
          <w:insideV w:val="single" w:color="D3DBDD" w:sz="4"/>
        </w:tblBorders>
        <w:tblLayout w:type="fixed"/>
      </w:tblPr>
      <w:tblGrid>
        <w:gridCol w:w="2907"/>
        <w:gridCol w:w="1890"/>
        <w:gridCol w:w="1890"/>
        <w:gridCol w:w="1890"/>
        <w:gridCol w:w="1889"/>
      </w:tblGrid>
      <w:tr>
        <w:trPr>
          <w:cantSplit/>
          <w:tblHeader/>
        </w:trPr>
        <w:tc>
          <w:tcPr>
            <w:tcBorders>
              <w:bottom w:val="single" w:color="2F3437" w:sz="4"/>
            </w:tcBorders>
            <w:shd w:fill="2F3437" w:color="2F3437" w:val="clear"/>
            <w:tcMar>
              <w:top w:type="dxa" w:w="144"/>
              <w:left w:type="dxa" w:w="144"/>
              <w:bottom w:type="dxa" w:w="104"/>
              <w:right w:type="dxa" w:w="144"/>
            </w:tcMar>
            <w:vAlign w:val="center"/>
          </w:tcPr>
          <w:p>
            <w:pPr>
              <w:keepNext/>
              <w:jc w:val="left"/>
            </w:pPr>
            <w:r>
              <w:rPr>
                <w:rFonts w:ascii="Calibri" w:cs="Calibri" w:eastAsia="Calibri" w:hAnsi="Calibri"/>
                <w:b/>
                <w:bCs/>
                <w:color w:val="FFFFFF"/>
                <w:spacing w:val="20"/>
                <w:sz w:val="16"/>
                <w:szCs w:val="16"/>
              </w:rPr>
              <w:t xml:space="preserve">ITEM</w:t>
            </w:r>
          </w:p>
        </w:tc>
        <w:tc>
          <w:tcPr>
            <w:tcBorders>
              <w:bottom w:val="single" w:color="2F3437" w:sz="4"/>
            </w:tcBorders>
            <w:shd w:fill="2F3437" w:color="2F3437" w:val="clear"/>
            <w:tcMar>
              <w:top w:type="dxa" w:w="144"/>
              <w:left w:type="dxa" w:w="144"/>
              <w:bottom w:type="dxa" w:w="104"/>
              <w:right w:type="dxa" w:w="144"/>
            </w:tcMar>
            <w:vAlign w:val="center"/>
          </w:tcPr>
          <w:p>
            <w:pPr>
              <w:keepNext/>
              <w:jc w:val="left"/>
            </w:pPr>
            <w:r>
              <w:rPr>
                <w:rFonts w:ascii="Calibri" w:cs="Calibri" w:eastAsia="Calibri" w:hAnsi="Calibri"/>
                <w:b/>
                <w:bCs/>
                <w:color w:val="FFFFFF"/>
                <w:spacing w:val="20"/>
                <w:sz w:val="16"/>
                <w:szCs w:val="16"/>
              </w:rPr>
              <w:t xml:space="preserve">DISCOVERY INSURE PURPLE PLAN QTE-0000001 (CURRENT POLICY)</w:t>
            </w:r>
          </w:p>
        </w:tc>
        <w:tc>
          <w:tcPr>
            <w:tcBorders>
              <w:bottom w:val="single" w:color="2F3437" w:sz="4"/>
            </w:tcBorders>
            <w:shd w:fill="2F3437" w:color="2F3437" w:val="clear"/>
            <w:tcMar>
              <w:top w:type="dxa" w:w="144"/>
              <w:left w:type="dxa" w:w="144"/>
              <w:bottom w:type="dxa" w:w="104"/>
              <w:right w:type="dxa" w:w="144"/>
            </w:tcMar>
            <w:vAlign w:val="center"/>
          </w:tcPr>
          <w:p>
            <w:pPr>
              <w:keepNext/>
              <w:jc w:val="left"/>
            </w:pPr>
            <w:r>
              <w:rPr>
                <w:rFonts w:ascii="Calibri" w:cs="Calibri" w:eastAsia="Calibri" w:hAnsi="Calibri"/>
                <w:b/>
                <w:bCs/>
                <w:color w:val="FFFFFF"/>
                <w:spacing w:val="20"/>
                <w:sz w:val="16"/>
                <w:szCs w:val="16"/>
              </w:rPr>
              <w:t xml:space="preserve">BRYTE PERSONAL POLICY QTE-0000002</w:t>
            </w:r>
          </w:p>
        </w:tc>
        <w:tc>
          <w:tcPr>
            <w:tcBorders>
              <w:bottom w:val="single" w:color="2F3437" w:sz="4"/>
            </w:tcBorders>
            <w:shd w:fill="2F3437" w:color="2F3437" w:val="clear"/>
            <w:tcMar>
              <w:top w:type="dxa" w:w="144"/>
              <w:left w:type="dxa" w:w="144"/>
              <w:bottom w:type="dxa" w:w="104"/>
              <w:right w:type="dxa" w:w="144"/>
            </w:tcMar>
            <w:vAlign w:val="center"/>
          </w:tcPr>
          <w:p>
            <w:pPr>
              <w:keepNext/>
              <w:jc w:val="left"/>
            </w:pPr>
            <w:r>
              <w:rPr>
                <w:rFonts w:ascii="Calibri" w:cs="Calibri" w:eastAsia="Calibri" w:hAnsi="Calibri"/>
                <w:b/>
                <w:bCs/>
                <w:color w:val="FFFFFF"/>
                <w:spacing w:val="20"/>
                <w:sz w:val="16"/>
                <w:szCs w:val="16"/>
              </w:rPr>
              <w:t xml:space="preserve">MUA EXECUTIVE POLICY QTE-0000003</w:t>
            </w:r>
          </w:p>
        </w:tc>
        <w:tc>
          <w:tcPr>
            <w:tcBorders>
              <w:bottom w:val="single" w:color="2F3437" w:sz="4"/>
            </w:tcBorders>
            <w:shd w:fill="2F3437" w:color="2F3437" w:val="clear"/>
            <w:tcMar>
              <w:top w:type="dxa" w:w="144"/>
              <w:left w:type="dxa" w:w="144"/>
              <w:bottom w:type="dxa" w:w="104"/>
              <w:right w:type="dxa" w:w="144"/>
            </w:tcMar>
            <w:vAlign w:val="center"/>
          </w:tcPr>
          <w:p>
            <w:pPr>
              <w:keepNext/>
              <w:jc w:val="left"/>
            </w:pPr>
            <w:r>
              <w:rPr>
                <w:rFonts w:ascii="Calibri" w:cs="Calibri" w:eastAsia="Calibri" w:hAnsi="Calibri"/>
                <w:b/>
                <w:bCs/>
                <w:color w:val="FFFFFF"/>
                <w:spacing w:val="20"/>
                <w:sz w:val="16"/>
                <w:szCs w:val="16"/>
              </w:rPr>
              <w:t xml:space="preserve">APEX PINNACLE PERSONAL QTE-0000004</w:t>
            </w:r>
          </w:p>
        </w:tc>
      </w:tr>
      <w:tr>
        <w:trPr>
          <w:cantSplit/>
        </w:trPr>
        <w:tc>
          <w:tcPr>
            <w:tcMar>
              <w:top w:type="dxa" w:w="144"/>
              <w:left w:type="dxa" w:w="144"/>
              <w:bottom w:type="dxa" w:w="104"/>
              <w:right w:type="dxa" w:w="144"/>
            </w:tcMar>
          </w:tcPr>
          <w:p>
            <w:pPr>
              <w:spacing w:before="0" w:after="40"/>
              <w:jc w:val="left"/>
            </w:pPr>
            <w:r>
              <w:rPr>
                <w:rFonts w:ascii="Calibri" w:cs="Calibri" w:eastAsia="Calibri" w:hAnsi="Calibri"/>
                <w:b/>
                <w:bCs/>
                <w:i w:val="false"/>
                <w:iCs w:val="false"/>
                <w:color w:val="000000"/>
                <w:sz w:val="20"/>
                <w:szCs w:val="20"/>
              </w:rPr>
              <w:t xml:space="preserve">Sum Insured</w:t>
            </w:r>
          </w:p>
        </w:tc>
        <w:tc>
          <w:tcPr>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R10,000 (identity fraud benefit)</w:t>
            </w:r>
          </w:p>
        </w:tc>
        <w:tc>
          <w:tcPr>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covered</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bCs/>
                <w:i w:val="false"/>
                <w:iCs w:val="false"/>
                <w:color w:val="000000"/>
                <w:sz w:val="20"/>
                <w:szCs w:val="20"/>
              </w:rPr>
              <w:t xml:space="preserve">Premium</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Included in Personal Legal Responsibility R2.43</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taken</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bCs/>
                <w:i w:val="false"/>
                <w:iCs w:val="false"/>
                <w:color w:val="000000"/>
                <w:sz w:val="20"/>
                <w:szCs w:val="20"/>
              </w:rPr>
              <w:t xml:space="preserve">Security Details</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 equivalent identified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Benefit attaches to Personal Legal Responsibility section</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 equivalent identified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Pinnacle identity secure: Section Applicable No</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bCs/>
                <w:i w:val="false"/>
                <w:iCs w:val="false"/>
                <w:color w:val="000000"/>
                <w:sz w:val="20"/>
                <w:szCs w:val="20"/>
              </w:rPr>
              <w:t xml:space="preserve">Identity fraud / identity theft cover</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Identity Fraud R10,000 (Personal Legal Responsibility policy section benefit)</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covered – Not taken</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  - Conditions</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Applies only where Personal Legal Responsibility is included (R2,500,000 selected)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  - Policy Terms</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Personal Legal Responsibility cover has no excess</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r>
    </w:tbl>
    <w:p>
      <w:pPr>
        <w:spacing w:before="160" w:after="160"/>
      </w:pPr>
      <w:r>
        <w:t xml:space="preserve"/>
      </w:r>
    </w:p>
    <w:p>
      <w:pPr>
        <w:pStyle w:val="Heading1"/>
        <w:keepNext/>
        <w:keepLines/>
        <w:pBdr>
          <w:bottom w:val="single" w:color="D3DBDD" w:sz="4" w:space="4"/>
        </w:pBdr>
        <w:spacing w:before="360" w:after="160"/>
      </w:pPr>
      <w:r>
        <w:rPr>
          <w:rFonts w:ascii="Calibri" w:cs="Calibri" w:eastAsia="Calibri" w:hAnsi="Calibri"/>
          <w:b/>
          <w:bCs/>
          <w:color w:val="000000"/>
          <w:sz w:val="36"/>
          <w:szCs w:val="36"/>
        </w:rPr>
        <w:t xml:space="preserve">23. </w:t>
      </w:r>
      <w:r>
        <w:rPr>
          <w:rFonts w:ascii="Calibri" w:cs="Calibri" w:eastAsia="Calibri" w:hAnsi="Calibri"/>
          <w:b/>
          <w:bCs/>
          <w:color w:val="000000"/>
          <w:sz w:val="36"/>
          <w:szCs w:val="36"/>
        </w:rPr>
        <w:t xml:space="preserve">Sasria watercraft</w:t>
      </w:r>
    </w:p>
    <w:tbl>
      <w:tblPr>
        <w:tblW w:type="pct" w:w="5000%"/>
        <w:tblBorders>
          <w:top w:val="single" w:color="D3DBDD" w:sz="4"/>
          <w:left w:val="single" w:color="D3DBDD" w:sz="4"/>
          <w:bottom w:val="single" w:color="D3DBDD" w:sz="4"/>
          <w:right w:val="single" w:color="D3DBDD" w:sz="4"/>
          <w:insideH w:val="single" w:color="D3DBDD" w:sz="4"/>
          <w:insideV w:val="single" w:color="D3DBDD" w:sz="4"/>
        </w:tblBorders>
        <w:tblLayout w:type="fixed"/>
      </w:tblPr>
      <w:tblGrid>
        <w:gridCol w:w="2907"/>
        <w:gridCol w:w="1890"/>
        <w:gridCol w:w="1890"/>
        <w:gridCol w:w="1890"/>
        <w:gridCol w:w="1889"/>
      </w:tblGrid>
      <w:tr>
        <w:trPr>
          <w:cantSplit/>
          <w:tblHeader/>
        </w:trPr>
        <w:tc>
          <w:tcPr>
            <w:tcBorders>
              <w:bottom w:val="single" w:color="2F3437" w:sz="4"/>
            </w:tcBorders>
            <w:shd w:fill="2F3437" w:color="2F3437" w:val="clear"/>
            <w:tcMar>
              <w:top w:type="dxa" w:w="144"/>
              <w:left w:type="dxa" w:w="144"/>
              <w:bottom w:type="dxa" w:w="104"/>
              <w:right w:type="dxa" w:w="144"/>
            </w:tcMar>
            <w:vAlign w:val="center"/>
          </w:tcPr>
          <w:p>
            <w:pPr>
              <w:keepNext/>
              <w:jc w:val="left"/>
            </w:pPr>
            <w:r>
              <w:rPr>
                <w:rFonts w:ascii="Calibri" w:cs="Calibri" w:eastAsia="Calibri" w:hAnsi="Calibri"/>
                <w:b/>
                <w:bCs/>
                <w:color w:val="FFFFFF"/>
                <w:spacing w:val="20"/>
                <w:sz w:val="16"/>
                <w:szCs w:val="16"/>
              </w:rPr>
              <w:t xml:space="preserve">ITEM</w:t>
            </w:r>
          </w:p>
        </w:tc>
        <w:tc>
          <w:tcPr>
            <w:tcBorders>
              <w:bottom w:val="single" w:color="2F3437" w:sz="4"/>
            </w:tcBorders>
            <w:shd w:fill="2F3437" w:color="2F3437" w:val="clear"/>
            <w:tcMar>
              <w:top w:type="dxa" w:w="144"/>
              <w:left w:type="dxa" w:w="144"/>
              <w:bottom w:type="dxa" w:w="104"/>
              <w:right w:type="dxa" w:w="144"/>
            </w:tcMar>
            <w:vAlign w:val="center"/>
          </w:tcPr>
          <w:p>
            <w:pPr>
              <w:keepNext/>
              <w:jc w:val="left"/>
            </w:pPr>
            <w:r>
              <w:rPr>
                <w:rFonts w:ascii="Calibri" w:cs="Calibri" w:eastAsia="Calibri" w:hAnsi="Calibri"/>
                <w:b/>
                <w:bCs/>
                <w:color w:val="FFFFFF"/>
                <w:spacing w:val="20"/>
                <w:sz w:val="16"/>
                <w:szCs w:val="16"/>
              </w:rPr>
              <w:t xml:space="preserve">DISCOVERY INSURE PURPLE PLAN QTE-0000001 (CURRENT POLICY)</w:t>
            </w:r>
          </w:p>
        </w:tc>
        <w:tc>
          <w:tcPr>
            <w:tcBorders>
              <w:bottom w:val="single" w:color="2F3437" w:sz="4"/>
            </w:tcBorders>
            <w:shd w:fill="2F3437" w:color="2F3437" w:val="clear"/>
            <w:tcMar>
              <w:top w:type="dxa" w:w="144"/>
              <w:left w:type="dxa" w:w="144"/>
              <w:bottom w:type="dxa" w:w="104"/>
              <w:right w:type="dxa" w:w="144"/>
            </w:tcMar>
            <w:vAlign w:val="center"/>
          </w:tcPr>
          <w:p>
            <w:pPr>
              <w:keepNext/>
              <w:jc w:val="left"/>
            </w:pPr>
            <w:r>
              <w:rPr>
                <w:rFonts w:ascii="Calibri" w:cs="Calibri" w:eastAsia="Calibri" w:hAnsi="Calibri"/>
                <w:b/>
                <w:bCs/>
                <w:color w:val="FFFFFF"/>
                <w:spacing w:val="20"/>
                <w:sz w:val="16"/>
                <w:szCs w:val="16"/>
              </w:rPr>
              <w:t xml:space="preserve">BRYTE PERSONAL POLICY QTE-0000002</w:t>
            </w:r>
          </w:p>
        </w:tc>
        <w:tc>
          <w:tcPr>
            <w:tcBorders>
              <w:bottom w:val="single" w:color="2F3437" w:sz="4"/>
            </w:tcBorders>
            <w:shd w:fill="2F3437" w:color="2F3437" w:val="clear"/>
            <w:tcMar>
              <w:top w:type="dxa" w:w="144"/>
              <w:left w:type="dxa" w:w="144"/>
              <w:bottom w:type="dxa" w:w="104"/>
              <w:right w:type="dxa" w:w="144"/>
            </w:tcMar>
            <w:vAlign w:val="center"/>
          </w:tcPr>
          <w:p>
            <w:pPr>
              <w:keepNext/>
              <w:jc w:val="left"/>
            </w:pPr>
            <w:r>
              <w:rPr>
                <w:rFonts w:ascii="Calibri" w:cs="Calibri" w:eastAsia="Calibri" w:hAnsi="Calibri"/>
                <w:b/>
                <w:bCs/>
                <w:color w:val="FFFFFF"/>
                <w:spacing w:val="20"/>
                <w:sz w:val="16"/>
                <w:szCs w:val="16"/>
              </w:rPr>
              <w:t xml:space="preserve">MUA EXECUTIVE POLICY QTE-0000003</w:t>
            </w:r>
          </w:p>
        </w:tc>
        <w:tc>
          <w:tcPr>
            <w:tcBorders>
              <w:bottom w:val="single" w:color="2F3437" w:sz="4"/>
            </w:tcBorders>
            <w:shd w:fill="2F3437" w:color="2F3437" w:val="clear"/>
            <w:tcMar>
              <w:top w:type="dxa" w:w="144"/>
              <w:left w:type="dxa" w:w="144"/>
              <w:bottom w:type="dxa" w:w="104"/>
              <w:right w:type="dxa" w:w="144"/>
            </w:tcMar>
            <w:vAlign w:val="center"/>
          </w:tcPr>
          <w:p>
            <w:pPr>
              <w:keepNext/>
              <w:jc w:val="left"/>
            </w:pPr>
            <w:r>
              <w:rPr>
                <w:rFonts w:ascii="Calibri" w:cs="Calibri" w:eastAsia="Calibri" w:hAnsi="Calibri"/>
                <w:b/>
                <w:bCs/>
                <w:color w:val="FFFFFF"/>
                <w:spacing w:val="20"/>
                <w:sz w:val="16"/>
                <w:szCs w:val="16"/>
              </w:rPr>
              <w:t xml:space="preserve">APEX PINNACLE PERSONAL QTE-0000004</w:t>
            </w:r>
          </w:p>
        </w:tc>
      </w:tr>
      <w:tr>
        <w:trPr>
          <w:cantSplit/>
        </w:trPr>
        <w:tc>
          <w:tcPr>
            <w:tcMar>
              <w:top w:type="dxa" w:w="144"/>
              <w:left w:type="dxa" w:w="144"/>
              <w:bottom w:type="dxa" w:w="104"/>
              <w:right w:type="dxa" w:w="144"/>
            </w:tcMar>
          </w:tcPr>
          <w:p>
            <w:pPr>
              <w:spacing w:before="0" w:after="40"/>
              <w:jc w:val="left"/>
            </w:pPr>
            <w:r>
              <w:rPr>
                <w:rFonts w:ascii="Calibri" w:cs="Calibri" w:eastAsia="Calibri" w:hAnsi="Calibri"/>
                <w:b/>
                <w:bCs/>
                <w:i w:val="false"/>
                <w:iCs w:val="false"/>
                <w:color w:val="000000"/>
                <w:sz w:val="20"/>
                <w:szCs w:val="20"/>
              </w:rPr>
              <w:t xml:space="preserve">Sum Insured</w:t>
            </w:r>
          </w:p>
        </w:tc>
        <w:tc>
          <w:tcPr>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R116,500.00</w:t>
            </w:r>
          </w:p>
        </w:tc>
        <w:tc>
          <w:tcPr>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R116,500</w:t>
            </w:r>
          </w:p>
        </w:tc>
        <w:tc>
          <w:tcPr>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R116,500.00</w:t>
            </w:r>
          </w:p>
        </w:tc>
        <w:tc>
          <w:tcPr>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R116,500</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bCs/>
                <w:i w:val="false"/>
                <w:iCs w:val="false"/>
                <w:color w:val="000000"/>
                <w:sz w:val="20"/>
                <w:szCs w:val="20"/>
              </w:rPr>
              <w:t xml:space="preserve">Premium</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R3.00 monthly (within total SASRIA R54.86)</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R0.39 monthly</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Included in SASRIA Fire Domestic R44.39 monthly (not itemised)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R0.39 monthly (via Sasria domestic fire)</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bCs/>
                <w:i w:val="false"/>
                <w:iCs w:val="false"/>
                <w:color w:val="000000"/>
                <w:sz w:val="20"/>
                <w:szCs w:val="20"/>
              </w:rPr>
              <w:t xml:space="preserve">Security Details</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Watercraft SASRIA rate 0.000363% of insured value, minimum R3.00</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Pleasure craft within Sasria domestic fire; security costs: No</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SASRIA Fire Domestic selected on watercraft</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Separate Sasria watercraft section not taken; watercraft Sasria cover: Yes</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bCs/>
                <w:i w:val="false"/>
                <w:iCs w:val="false"/>
                <w:color w:val="000000"/>
                <w:sz w:val="20"/>
                <w:szCs w:val="20"/>
              </w:rPr>
              <w:t xml:space="preserve">Sasria cover on watercraft (ski boat)</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Covered – SASRIA watercraft premium R3.00</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Covered – pleasure craft R116,500, premium R0.39</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Covered – SASRIA Fire Domestic selected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Covered through Sasria domestic fire (R116,500, R0.39); separate Sasria watercraft section 'Not taken'</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  - Conditions</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Premium paid by Discovery Insure on the planholder's behalf</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r>
    </w:tbl>
    <w:p>
      <w:pPr>
        <w:spacing w:before="160" w:after="160"/>
      </w:pPr>
      <w:r>
        <w:t xml:space="preserve"/>
      </w:r>
    </w:p>
    <w:p>
      <w:pPr>
        <w:pStyle w:val="Heading1"/>
        <w:keepNext/>
        <w:keepLines/>
        <w:pBdr>
          <w:bottom w:val="single" w:color="D3DBDD" w:sz="4" w:space="4"/>
        </w:pBdr>
        <w:spacing w:before="360" w:after="160"/>
      </w:pPr>
      <w:r>
        <w:rPr>
          <w:rFonts w:ascii="Calibri" w:cs="Calibri" w:eastAsia="Calibri" w:hAnsi="Calibri"/>
          <w:b/>
          <w:bCs/>
          <w:color w:val="000000"/>
          <w:sz w:val="36"/>
          <w:szCs w:val="36"/>
        </w:rPr>
        <w:t xml:space="preserve">24. </w:t>
      </w:r>
      <w:r>
        <w:rPr>
          <w:rFonts w:ascii="Calibri" w:cs="Calibri" w:eastAsia="Calibri" w:hAnsi="Calibri"/>
          <w:b/>
          <w:bCs/>
          <w:color w:val="000000"/>
          <w:sz w:val="36"/>
          <w:szCs w:val="36"/>
        </w:rPr>
        <w:t xml:space="preserve">Accidental damage to buildings</w:t>
      </w:r>
    </w:p>
    <w:tbl>
      <w:tblPr>
        <w:tblW w:type="pct" w:w="5000%"/>
        <w:tblBorders>
          <w:top w:val="single" w:color="D3DBDD" w:sz="4"/>
          <w:left w:val="single" w:color="D3DBDD" w:sz="4"/>
          <w:bottom w:val="single" w:color="D3DBDD" w:sz="4"/>
          <w:right w:val="single" w:color="D3DBDD" w:sz="4"/>
          <w:insideH w:val="single" w:color="D3DBDD" w:sz="4"/>
          <w:insideV w:val="single" w:color="D3DBDD" w:sz="4"/>
        </w:tblBorders>
        <w:tblLayout w:type="fixed"/>
      </w:tblPr>
      <w:tblGrid>
        <w:gridCol w:w="2907"/>
        <w:gridCol w:w="1890"/>
        <w:gridCol w:w="1890"/>
        <w:gridCol w:w="1890"/>
        <w:gridCol w:w="1889"/>
      </w:tblGrid>
      <w:tr>
        <w:trPr>
          <w:cantSplit/>
          <w:tblHeader/>
        </w:trPr>
        <w:tc>
          <w:tcPr>
            <w:tcBorders>
              <w:bottom w:val="single" w:color="2F3437" w:sz="4"/>
            </w:tcBorders>
            <w:shd w:fill="2F3437" w:color="2F3437" w:val="clear"/>
            <w:tcMar>
              <w:top w:type="dxa" w:w="144"/>
              <w:left w:type="dxa" w:w="144"/>
              <w:bottom w:type="dxa" w:w="104"/>
              <w:right w:type="dxa" w:w="144"/>
            </w:tcMar>
            <w:vAlign w:val="center"/>
          </w:tcPr>
          <w:p>
            <w:pPr>
              <w:keepNext/>
              <w:jc w:val="left"/>
            </w:pPr>
            <w:r>
              <w:rPr>
                <w:rFonts w:ascii="Calibri" w:cs="Calibri" w:eastAsia="Calibri" w:hAnsi="Calibri"/>
                <w:b/>
                <w:bCs/>
                <w:color w:val="FFFFFF"/>
                <w:spacing w:val="20"/>
                <w:sz w:val="16"/>
                <w:szCs w:val="16"/>
              </w:rPr>
              <w:t xml:space="preserve">ITEM</w:t>
            </w:r>
          </w:p>
        </w:tc>
        <w:tc>
          <w:tcPr>
            <w:tcBorders>
              <w:bottom w:val="single" w:color="2F3437" w:sz="4"/>
            </w:tcBorders>
            <w:shd w:fill="2F3437" w:color="2F3437" w:val="clear"/>
            <w:tcMar>
              <w:top w:type="dxa" w:w="144"/>
              <w:left w:type="dxa" w:w="144"/>
              <w:bottom w:type="dxa" w:w="104"/>
              <w:right w:type="dxa" w:w="144"/>
            </w:tcMar>
            <w:vAlign w:val="center"/>
          </w:tcPr>
          <w:p>
            <w:pPr>
              <w:keepNext/>
              <w:jc w:val="left"/>
            </w:pPr>
            <w:r>
              <w:rPr>
                <w:rFonts w:ascii="Calibri" w:cs="Calibri" w:eastAsia="Calibri" w:hAnsi="Calibri"/>
                <w:b/>
                <w:bCs/>
                <w:color w:val="FFFFFF"/>
                <w:spacing w:val="20"/>
                <w:sz w:val="16"/>
                <w:szCs w:val="16"/>
              </w:rPr>
              <w:t xml:space="preserve">DISCOVERY INSURE PURPLE PLAN QTE-0000001 (CURRENT POLICY)</w:t>
            </w:r>
          </w:p>
        </w:tc>
        <w:tc>
          <w:tcPr>
            <w:tcBorders>
              <w:bottom w:val="single" w:color="2F3437" w:sz="4"/>
            </w:tcBorders>
            <w:shd w:fill="2F3437" w:color="2F3437" w:val="clear"/>
            <w:tcMar>
              <w:top w:type="dxa" w:w="144"/>
              <w:left w:type="dxa" w:w="144"/>
              <w:bottom w:type="dxa" w:w="104"/>
              <w:right w:type="dxa" w:w="144"/>
            </w:tcMar>
            <w:vAlign w:val="center"/>
          </w:tcPr>
          <w:p>
            <w:pPr>
              <w:keepNext/>
              <w:jc w:val="left"/>
            </w:pPr>
            <w:r>
              <w:rPr>
                <w:rFonts w:ascii="Calibri" w:cs="Calibri" w:eastAsia="Calibri" w:hAnsi="Calibri"/>
                <w:b/>
                <w:bCs/>
                <w:color w:val="FFFFFF"/>
                <w:spacing w:val="20"/>
                <w:sz w:val="16"/>
                <w:szCs w:val="16"/>
              </w:rPr>
              <w:t xml:space="preserve">BRYTE PERSONAL POLICY QTE-0000002</w:t>
            </w:r>
          </w:p>
        </w:tc>
        <w:tc>
          <w:tcPr>
            <w:tcBorders>
              <w:bottom w:val="single" w:color="2F3437" w:sz="4"/>
            </w:tcBorders>
            <w:shd w:fill="2F3437" w:color="2F3437" w:val="clear"/>
            <w:tcMar>
              <w:top w:type="dxa" w:w="144"/>
              <w:left w:type="dxa" w:w="144"/>
              <w:bottom w:type="dxa" w:w="104"/>
              <w:right w:type="dxa" w:w="144"/>
            </w:tcMar>
            <w:vAlign w:val="center"/>
          </w:tcPr>
          <w:p>
            <w:pPr>
              <w:keepNext/>
              <w:jc w:val="left"/>
            </w:pPr>
            <w:r>
              <w:rPr>
                <w:rFonts w:ascii="Calibri" w:cs="Calibri" w:eastAsia="Calibri" w:hAnsi="Calibri"/>
                <w:b/>
                <w:bCs/>
                <w:color w:val="FFFFFF"/>
                <w:spacing w:val="20"/>
                <w:sz w:val="16"/>
                <w:szCs w:val="16"/>
              </w:rPr>
              <w:t xml:space="preserve">MUA EXECUTIVE POLICY QTE-0000003</w:t>
            </w:r>
          </w:p>
        </w:tc>
        <w:tc>
          <w:tcPr>
            <w:tcBorders>
              <w:bottom w:val="single" w:color="2F3437" w:sz="4"/>
            </w:tcBorders>
            <w:shd w:fill="2F3437" w:color="2F3437" w:val="clear"/>
            <w:tcMar>
              <w:top w:type="dxa" w:w="144"/>
              <w:left w:type="dxa" w:w="144"/>
              <w:bottom w:type="dxa" w:w="104"/>
              <w:right w:type="dxa" w:w="144"/>
            </w:tcMar>
            <w:vAlign w:val="center"/>
          </w:tcPr>
          <w:p>
            <w:pPr>
              <w:keepNext/>
              <w:jc w:val="left"/>
            </w:pPr>
            <w:r>
              <w:rPr>
                <w:rFonts w:ascii="Calibri" w:cs="Calibri" w:eastAsia="Calibri" w:hAnsi="Calibri"/>
                <w:b/>
                <w:bCs/>
                <w:color w:val="FFFFFF"/>
                <w:spacing w:val="20"/>
                <w:sz w:val="16"/>
                <w:szCs w:val="16"/>
              </w:rPr>
              <w:t xml:space="preserve">APEX PINNACLE PERSONAL QTE-0000004</w:t>
            </w:r>
          </w:p>
        </w:tc>
      </w:tr>
      <w:tr>
        <w:trPr>
          <w:cantSplit/>
        </w:trPr>
        <w:tc>
          <w:tcPr>
            <w:tcMar>
              <w:top w:type="dxa" w:w="144"/>
              <w:left w:type="dxa" w:w="144"/>
              <w:bottom w:type="dxa" w:w="104"/>
              <w:right w:type="dxa" w:w="144"/>
            </w:tcMar>
          </w:tcPr>
          <w:p>
            <w:pPr>
              <w:spacing w:before="0" w:after="40"/>
              <w:jc w:val="left"/>
            </w:pPr>
            <w:r>
              <w:rPr>
                <w:rFonts w:ascii="Calibri" w:cs="Calibri" w:eastAsia="Calibri" w:hAnsi="Calibri"/>
                <w:b/>
                <w:bCs/>
                <w:i w:val="false"/>
                <w:iCs w:val="false"/>
                <w:color w:val="000000"/>
                <w:sz w:val="20"/>
                <w:szCs w:val="20"/>
              </w:rPr>
              <w:t xml:space="preserve">Sum Insured</w:t>
            </w:r>
          </w:p>
        </w:tc>
        <w:tc>
          <w:tcPr>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Included up to sum insured (R9,801,960.56)</w:t>
            </w:r>
          </w:p>
        </w:tc>
        <w:tc>
          <w:tcPr>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R100,000</w:t>
            </w:r>
          </w:p>
        </w:tc>
        <w:tc>
          <w:tcPr>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covered</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bCs/>
                <w:i w:val="false"/>
                <w:iCs w:val="false"/>
                <w:color w:val="000000"/>
                <w:sz w:val="20"/>
                <w:szCs w:val="20"/>
              </w:rPr>
              <w:t xml:space="preserve">Premium</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R0.00 (included)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R107.94 monthly</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taken</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bCs/>
                <w:i w:val="false"/>
                <w:iCs w:val="false"/>
                <w:color w:val="000000"/>
                <w:sz w:val="20"/>
                <w:szCs w:val="20"/>
              </w:rPr>
              <w:t xml:space="preserve">Security Details</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Comprehensive buildings cover</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Optional extension: Yes</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Comprehensive buildings; not itemised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Accidental damage to buildings: No</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bCs/>
                <w:i w:val="false"/>
                <w:iCs w:val="false"/>
                <w:color w:val="000000"/>
                <w:sz w:val="20"/>
                <w:szCs w:val="20"/>
              </w:rPr>
              <w:t xml:space="preserve">Accidental damage cover</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Included up to sum insured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R100,000 limit (selectable R5,000 to R100,000)</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covered (extension not selected)</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  - Conditions</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Accidental damage not otherwise insured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bCs/>
                <w:i w:val="false"/>
                <w:iCs w:val="false"/>
                <w:color w:val="000000"/>
                <w:sz w:val="20"/>
                <w:szCs w:val="20"/>
              </w:rPr>
              <w:t xml:space="preserve">Excess</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Basic R1,000</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10% of claim, minimum R500</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 – basic R2,000</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R1,000 if selected</w:t>
            </w:r>
          </w:p>
        </w:tc>
      </w:tr>
    </w:tbl>
    <w:p>
      <w:pPr>
        <w:spacing w:before="160" w:after="160"/>
      </w:pPr>
      <w:r>
        <w:t xml:space="preserve"/>
      </w:r>
    </w:p>
    <w:p>
      <w:pPr>
        <w:pStyle w:val="Heading1"/>
        <w:keepNext/>
        <w:keepLines/>
        <w:pBdr>
          <w:bottom w:val="single" w:color="D3DBDD" w:sz="4" w:space="4"/>
        </w:pBdr>
        <w:spacing w:before="360" w:after="160"/>
      </w:pPr>
      <w:r>
        <w:rPr>
          <w:rFonts w:ascii="Calibri" w:cs="Calibri" w:eastAsia="Calibri" w:hAnsi="Calibri"/>
          <w:b/>
          <w:bCs/>
          <w:color w:val="000000"/>
          <w:sz w:val="36"/>
          <w:szCs w:val="36"/>
        </w:rPr>
        <w:t xml:space="preserve">25. </w:t>
      </w:r>
      <w:r>
        <w:rPr>
          <w:rFonts w:ascii="Calibri" w:cs="Calibri" w:eastAsia="Calibri" w:hAnsi="Calibri"/>
          <w:b/>
          <w:bCs/>
          <w:color w:val="000000"/>
          <w:sz w:val="36"/>
          <w:szCs w:val="36"/>
        </w:rPr>
        <w:t xml:space="preserve">Accidental damage to fixed machinery</w:t>
      </w:r>
    </w:p>
    <w:tbl>
      <w:tblPr>
        <w:tblW w:type="pct" w:w="5000%"/>
        <w:tblBorders>
          <w:top w:val="single" w:color="D3DBDD" w:sz="4"/>
          <w:left w:val="single" w:color="D3DBDD" w:sz="4"/>
          <w:bottom w:val="single" w:color="D3DBDD" w:sz="4"/>
          <w:right w:val="single" w:color="D3DBDD" w:sz="4"/>
          <w:insideH w:val="single" w:color="D3DBDD" w:sz="4"/>
          <w:insideV w:val="single" w:color="D3DBDD" w:sz="4"/>
        </w:tblBorders>
        <w:tblLayout w:type="fixed"/>
      </w:tblPr>
      <w:tblGrid>
        <w:gridCol w:w="2907"/>
        <w:gridCol w:w="1890"/>
        <w:gridCol w:w="1890"/>
        <w:gridCol w:w="1890"/>
        <w:gridCol w:w="1889"/>
      </w:tblGrid>
      <w:tr>
        <w:trPr>
          <w:cantSplit/>
          <w:tblHeader/>
        </w:trPr>
        <w:tc>
          <w:tcPr>
            <w:tcBorders>
              <w:bottom w:val="single" w:color="2F3437" w:sz="4"/>
            </w:tcBorders>
            <w:shd w:fill="2F3437" w:color="2F3437" w:val="clear"/>
            <w:tcMar>
              <w:top w:type="dxa" w:w="144"/>
              <w:left w:type="dxa" w:w="144"/>
              <w:bottom w:type="dxa" w:w="104"/>
              <w:right w:type="dxa" w:w="144"/>
            </w:tcMar>
            <w:vAlign w:val="center"/>
          </w:tcPr>
          <w:p>
            <w:pPr>
              <w:keepNext/>
              <w:jc w:val="left"/>
            </w:pPr>
            <w:r>
              <w:rPr>
                <w:rFonts w:ascii="Calibri" w:cs="Calibri" w:eastAsia="Calibri" w:hAnsi="Calibri"/>
                <w:b/>
                <w:bCs/>
                <w:color w:val="FFFFFF"/>
                <w:spacing w:val="20"/>
                <w:sz w:val="16"/>
                <w:szCs w:val="16"/>
              </w:rPr>
              <w:t xml:space="preserve">ITEM</w:t>
            </w:r>
          </w:p>
        </w:tc>
        <w:tc>
          <w:tcPr>
            <w:tcBorders>
              <w:bottom w:val="single" w:color="2F3437" w:sz="4"/>
            </w:tcBorders>
            <w:shd w:fill="2F3437" w:color="2F3437" w:val="clear"/>
            <w:tcMar>
              <w:top w:type="dxa" w:w="144"/>
              <w:left w:type="dxa" w:w="144"/>
              <w:bottom w:type="dxa" w:w="104"/>
              <w:right w:type="dxa" w:w="144"/>
            </w:tcMar>
            <w:vAlign w:val="center"/>
          </w:tcPr>
          <w:p>
            <w:pPr>
              <w:keepNext/>
              <w:jc w:val="left"/>
            </w:pPr>
            <w:r>
              <w:rPr>
                <w:rFonts w:ascii="Calibri" w:cs="Calibri" w:eastAsia="Calibri" w:hAnsi="Calibri"/>
                <w:b/>
                <w:bCs/>
                <w:color w:val="FFFFFF"/>
                <w:spacing w:val="20"/>
                <w:sz w:val="16"/>
                <w:szCs w:val="16"/>
              </w:rPr>
              <w:t xml:space="preserve">DISCOVERY INSURE PURPLE PLAN QTE-0000001 (CURRENT POLICY)</w:t>
            </w:r>
          </w:p>
        </w:tc>
        <w:tc>
          <w:tcPr>
            <w:tcBorders>
              <w:bottom w:val="single" w:color="2F3437" w:sz="4"/>
            </w:tcBorders>
            <w:shd w:fill="2F3437" w:color="2F3437" w:val="clear"/>
            <w:tcMar>
              <w:top w:type="dxa" w:w="144"/>
              <w:left w:type="dxa" w:w="144"/>
              <w:bottom w:type="dxa" w:w="104"/>
              <w:right w:type="dxa" w:w="144"/>
            </w:tcMar>
            <w:vAlign w:val="center"/>
          </w:tcPr>
          <w:p>
            <w:pPr>
              <w:keepNext/>
              <w:jc w:val="left"/>
            </w:pPr>
            <w:r>
              <w:rPr>
                <w:rFonts w:ascii="Calibri" w:cs="Calibri" w:eastAsia="Calibri" w:hAnsi="Calibri"/>
                <w:b/>
                <w:bCs/>
                <w:color w:val="FFFFFF"/>
                <w:spacing w:val="20"/>
                <w:sz w:val="16"/>
                <w:szCs w:val="16"/>
              </w:rPr>
              <w:t xml:space="preserve">BRYTE PERSONAL POLICY QTE-0000002</w:t>
            </w:r>
          </w:p>
        </w:tc>
        <w:tc>
          <w:tcPr>
            <w:tcBorders>
              <w:bottom w:val="single" w:color="2F3437" w:sz="4"/>
            </w:tcBorders>
            <w:shd w:fill="2F3437" w:color="2F3437" w:val="clear"/>
            <w:tcMar>
              <w:top w:type="dxa" w:w="144"/>
              <w:left w:type="dxa" w:w="144"/>
              <w:bottom w:type="dxa" w:w="104"/>
              <w:right w:type="dxa" w:w="144"/>
            </w:tcMar>
            <w:vAlign w:val="center"/>
          </w:tcPr>
          <w:p>
            <w:pPr>
              <w:keepNext/>
              <w:jc w:val="left"/>
            </w:pPr>
            <w:r>
              <w:rPr>
                <w:rFonts w:ascii="Calibri" w:cs="Calibri" w:eastAsia="Calibri" w:hAnsi="Calibri"/>
                <w:b/>
                <w:bCs/>
                <w:color w:val="FFFFFF"/>
                <w:spacing w:val="20"/>
                <w:sz w:val="16"/>
                <w:szCs w:val="16"/>
              </w:rPr>
              <w:t xml:space="preserve">MUA EXECUTIVE POLICY QTE-0000003</w:t>
            </w:r>
          </w:p>
        </w:tc>
        <w:tc>
          <w:tcPr>
            <w:tcBorders>
              <w:bottom w:val="single" w:color="2F3437" w:sz="4"/>
            </w:tcBorders>
            <w:shd w:fill="2F3437" w:color="2F3437" w:val="clear"/>
            <w:tcMar>
              <w:top w:type="dxa" w:w="144"/>
              <w:left w:type="dxa" w:w="144"/>
              <w:bottom w:type="dxa" w:w="104"/>
              <w:right w:type="dxa" w:w="144"/>
            </w:tcMar>
            <w:vAlign w:val="center"/>
          </w:tcPr>
          <w:p>
            <w:pPr>
              <w:keepNext/>
              <w:jc w:val="left"/>
            </w:pPr>
            <w:r>
              <w:rPr>
                <w:rFonts w:ascii="Calibri" w:cs="Calibri" w:eastAsia="Calibri" w:hAnsi="Calibri"/>
                <w:b/>
                <w:bCs/>
                <w:color w:val="FFFFFF"/>
                <w:spacing w:val="20"/>
                <w:sz w:val="16"/>
                <w:szCs w:val="16"/>
              </w:rPr>
              <w:t xml:space="preserve">APEX PINNACLE PERSONAL QTE-0000004</w:t>
            </w:r>
          </w:p>
        </w:tc>
      </w:tr>
      <w:tr>
        <w:trPr>
          <w:cantSplit/>
        </w:trPr>
        <w:tc>
          <w:tcPr>
            <w:tcMar>
              <w:top w:type="dxa" w:w="144"/>
              <w:left w:type="dxa" w:w="144"/>
              <w:bottom w:type="dxa" w:w="104"/>
              <w:right w:type="dxa" w:w="144"/>
            </w:tcMar>
          </w:tcPr>
          <w:p>
            <w:pPr>
              <w:spacing w:before="0" w:after="40"/>
              <w:jc w:val="left"/>
            </w:pPr>
            <w:r>
              <w:rPr>
                <w:rFonts w:ascii="Calibri" w:cs="Calibri" w:eastAsia="Calibri" w:hAnsi="Calibri"/>
                <w:b/>
                <w:bCs/>
                <w:i w:val="false"/>
                <w:iCs w:val="false"/>
                <w:color w:val="000000"/>
                <w:sz w:val="20"/>
                <w:szCs w:val="20"/>
              </w:rPr>
              <w:t xml:space="preserve">Sum Insured</w:t>
            </w:r>
          </w:p>
        </w:tc>
        <w:tc>
          <w:tcPr>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R10,000 (breakdown of fixed machinery)</w:t>
            </w:r>
          </w:p>
        </w:tc>
        <w:tc>
          <w:tcPr>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covered</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bCs/>
                <w:i w:val="false"/>
                <w:iCs w:val="false"/>
                <w:color w:val="000000"/>
                <w:sz w:val="20"/>
                <w:szCs w:val="20"/>
              </w:rPr>
              <w:t xml:space="preserve">Premium</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R10.80 monthly</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taken</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bCs/>
                <w:i w:val="false"/>
                <w:iCs w:val="false"/>
                <w:color w:val="000000"/>
                <w:sz w:val="20"/>
                <w:szCs w:val="20"/>
              </w:rPr>
              <w:t xml:space="preserve">Security Details</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Optional extension: Yes</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Accidental damage to fixed machinery: No (buildings and contents)</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bCs/>
                <w:i w:val="false"/>
                <w:iCs w:val="false"/>
                <w:color w:val="000000"/>
                <w:sz w:val="20"/>
                <w:szCs w:val="20"/>
              </w:rPr>
              <w:t xml:space="preserve">Fixed machinery / breakdown cover</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 – accidental damage and power surge included up to sum insured under buildings</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Breakdown of fixed machinery R10,000 (selectable R5,000 to R100,000); contents electrical and mechanical breakdown R5,000 at R20.57</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covered (extension not selected)</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bCs/>
                <w:i w:val="false"/>
                <w:iCs w:val="false"/>
                <w:color w:val="000000"/>
                <w:sz w:val="20"/>
                <w:szCs w:val="20"/>
              </w:rPr>
              <w:t xml:space="preserve">Excess</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10% of claim, minimum R500</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R1,000 if selected</w:t>
            </w:r>
          </w:p>
        </w:tc>
      </w:tr>
    </w:tbl>
    <w:p>
      <w:pPr>
        <w:spacing w:before="160" w:after="160"/>
      </w:pPr>
      <w:r>
        <w:t xml:space="preserve"/>
      </w:r>
    </w:p>
    <w:p>
      <w:pPr>
        <w:pStyle w:val="Heading1"/>
        <w:keepNext/>
        <w:keepLines/>
        <w:pBdr>
          <w:bottom w:val="single" w:color="D3DBDD" w:sz="4" w:space="4"/>
        </w:pBdr>
        <w:spacing w:before="360" w:after="160"/>
      </w:pPr>
      <w:r>
        <w:rPr>
          <w:rFonts w:ascii="Calibri" w:cs="Calibri" w:eastAsia="Calibri" w:hAnsi="Calibri"/>
          <w:b/>
          <w:bCs/>
          <w:color w:val="000000"/>
          <w:sz w:val="36"/>
          <w:szCs w:val="36"/>
        </w:rPr>
        <w:t xml:space="preserve">26. </w:t>
      </w:r>
      <w:r>
        <w:rPr>
          <w:rFonts w:ascii="Calibri" w:cs="Calibri" w:eastAsia="Calibri" w:hAnsi="Calibri"/>
          <w:b/>
          <w:bCs/>
          <w:color w:val="000000"/>
          <w:sz w:val="36"/>
          <w:szCs w:val="36"/>
        </w:rPr>
        <w:t xml:space="preserve">Accidental damage to contents</w:t>
      </w:r>
    </w:p>
    <w:tbl>
      <w:tblPr>
        <w:tblW w:type="pct" w:w="5000%"/>
        <w:tblBorders>
          <w:top w:val="single" w:color="D3DBDD" w:sz="4"/>
          <w:left w:val="single" w:color="D3DBDD" w:sz="4"/>
          <w:bottom w:val="single" w:color="D3DBDD" w:sz="4"/>
          <w:right w:val="single" w:color="D3DBDD" w:sz="4"/>
          <w:insideH w:val="single" w:color="D3DBDD" w:sz="4"/>
          <w:insideV w:val="single" w:color="D3DBDD" w:sz="4"/>
        </w:tblBorders>
        <w:tblLayout w:type="fixed"/>
      </w:tblPr>
      <w:tblGrid>
        <w:gridCol w:w="2907"/>
        <w:gridCol w:w="1890"/>
        <w:gridCol w:w="1890"/>
        <w:gridCol w:w="1890"/>
        <w:gridCol w:w="1889"/>
      </w:tblGrid>
      <w:tr>
        <w:trPr>
          <w:cantSplit/>
          <w:tblHeader/>
        </w:trPr>
        <w:tc>
          <w:tcPr>
            <w:tcBorders>
              <w:bottom w:val="single" w:color="2F3437" w:sz="4"/>
            </w:tcBorders>
            <w:shd w:fill="2F3437" w:color="2F3437" w:val="clear"/>
            <w:tcMar>
              <w:top w:type="dxa" w:w="144"/>
              <w:left w:type="dxa" w:w="144"/>
              <w:bottom w:type="dxa" w:w="104"/>
              <w:right w:type="dxa" w:w="144"/>
            </w:tcMar>
            <w:vAlign w:val="center"/>
          </w:tcPr>
          <w:p>
            <w:pPr>
              <w:keepNext/>
              <w:jc w:val="left"/>
            </w:pPr>
            <w:r>
              <w:rPr>
                <w:rFonts w:ascii="Calibri" w:cs="Calibri" w:eastAsia="Calibri" w:hAnsi="Calibri"/>
                <w:b/>
                <w:bCs/>
                <w:color w:val="FFFFFF"/>
                <w:spacing w:val="20"/>
                <w:sz w:val="16"/>
                <w:szCs w:val="16"/>
              </w:rPr>
              <w:t xml:space="preserve">ITEM</w:t>
            </w:r>
          </w:p>
        </w:tc>
        <w:tc>
          <w:tcPr>
            <w:tcBorders>
              <w:bottom w:val="single" w:color="2F3437" w:sz="4"/>
            </w:tcBorders>
            <w:shd w:fill="2F3437" w:color="2F3437" w:val="clear"/>
            <w:tcMar>
              <w:top w:type="dxa" w:w="144"/>
              <w:left w:type="dxa" w:w="144"/>
              <w:bottom w:type="dxa" w:w="104"/>
              <w:right w:type="dxa" w:w="144"/>
            </w:tcMar>
            <w:vAlign w:val="center"/>
          </w:tcPr>
          <w:p>
            <w:pPr>
              <w:keepNext/>
              <w:jc w:val="left"/>
            </w:pPr>
            <w:r>
              <w:rPr>
                <w:rFonts w:ascii="Calibri" w:cs="Calibri" w:eastAsia="Calibri" w:hAnsi="Calibri"/>
                <w:b/>
                <w:bCs/>
                <w:color w:val="FFFFFF"/>
                <w:spacing w:val="20"/>
                <w:sz w:val="16"/>
                <w:szCs w:val="16"/>
              </w:rPr>
              <w:t xml:space="preserve">DISCOVERY INSURE PURPLE PLAN QTE-0000001 (CURRENT POLICY)</w:t>
            </w:r>
          </w:p>
        </w:tc>
        <w:tc>
          <w:tcPr>
            <w:tcBorders>
              <w:bottom w:val="single" w:color="2F3437" w:sz="4"/>
            </w:tcBorders>
            <w:shd w:fill="2F3437" w:color="2F3437" w:val="clear"/>
            <w:tcMar>
              <w:top w:type="dxa" w:w="144"/>
              <w:left w:type="dxa" w:w="144"/>
              <w:bottom w:type="dxa" w:w="104"/>
              <w:right w:type="dxa" w:w="144"/>
            </w:tcMar>
            <w:vAlign w:val="center"/>
          </w:tcPr>
          <w:p>
            <w:pPr>
              <w:keepNext/>
              <w:jc w:val="left"/>
            </w:pPr>
            <w:r>
              <w:rPr>
                <w:rFonts w:ascii="Calibri" w:cs="Calibri" w:eastAsia="Calibri" w:hAnsi="Calibri"/>
                <w:b/>
                <w:bCs/>
                <w:color w:val="FFFFFF"/>
                <w:spacing w:val="20"/>
                <w:sz w:val="16"/>
                <w:szCs w:val="16"/>
              </w:rPr>
              <w:t xml:space="preserve">BRYTE PERSONAL POLICY QTE-0000002</w:t>
            </w:r>
          </w:p>
        </w:tc>
        <w:tc>
          <w:tcPr>
            <w:tcBorders>
              <w:bottom w:val="single" w:color="2F3437" w:sz="4"/>
            </w:tcBorders>
            <w:shd w:fill="2F3437" w:color="2F3437" w:val="clear"/>
            <w:tcMar>
              <w:top w:type="dxa" w:w="144"/>
              <w:left w:type="dxa" w:w="144"/>
              <w:bottom w:type="dxa" w:w="104"/>
              <w:right w:type="dxa" w:w="144"/>
            </w:tcMar>
            <w:vAlign w:val="center"/>
          </w:tcPr>
          <w:p>
            <w:pPr>
              <w:keepNext/>
              <w:jc w:val="left"/>
            </w:pPr>
            <w:r>
              <w:rPr>
                <w:rFonts w:ascii="Calibri" w:cs="Calibri" w:eastAsia="Calibri" w:hAnsi="Calibri"/>
                <w:b/>
                <w:bCs/>
                <w:color w:val="FFFFFF"/>
                <w:spacing w:val="20"/>
                <w:sz w:val="16"/>
                <w:szCs w:val="16"/>
              </w:rPr>
              <w:t xml:space="preserve">MUA EXECUTIVE POLICY QTE-0000003</w:t>
            </w:r>
          </w:p>
        </w:tc>
        <w:tc>
          <w:tcPr>
            <w:tcBorders>
              <w:bottom w:val="single" w:color="2F3437" w:sz="4"/>
            </w:tcBorders>
            <w:shd w:fill="2F3437" w:color="2F3437" w:val="clear"/>
            <w:tcMar>
              <w:top w:type="dxa" w:w="144"/>
              <w:left w:type="dxa" w:w="144"/>
              <w:bottom w:type="dxa" w:w="104"/>
              <w:right w:type="dxa" w:w="144"/>
            </w:tcMar>
            <w:vAlign w:val="center"/>
          </w:tcPr>
          <w:p>
            <w:pPr>
              <w:keepNext/>
              <w:jc w:val="left"/>
            </w:pPr>
            <w:r>
              <w:rPr>
                <w:rFonts w:ascii="Calibri" w:cs="Calibri" w:eastAsia="Calibri" w:hAnsi="Calibri"/>
                <w:b/>
                <w:bCs/>
                <w:color w:val="FFFFFF"/>
                <w:spacing w:val="20"/>
                <w:sz w:val="16"/>
                <w:szCs w:val="16"/>
              </w:rPr>
              <w:t xml:space="preserve">APEX PINNACLE PERSONAL QTE-0000004</w:t>
            </w:r>
          </w:p>
        </w:tc>
      </w:tr>
      <w:tr>
        <w:trPr>
          <w:cantSplit/>
        </w:trPr>
        <w:tc>
          <w:tcPr>
            <w:tcMar>
              <w:top w:type="dxa" w:w="144"/>
              <w:left w:type="dxa" w:w="144"/>
              <w:bottom w:type="dxa" w:w="104"/>
              <w:right w:type="dxa" w:w="144"/>
            </w:tcMar>
          </w:tcPr>
          <w:p>
            <w:pPr>
              <w:spacing w:before="0" w:after="40"/>
              <w:jc w:val="left"/>
            </w:pPr>
            <w:r>
              <w:rPr>
                <w:rFonts w:ascii="Calibri" w:cs="Calibri" w:eastAsia="Calibri" w:hAnsi="Calibri"/>
                <w:b/>
                <w:bCs/>
                <w:i w:val="false"/>
                <w:iCs w:val="false"/>
                <w:color w:val="000000"/>
                <w:sz w:val="20"/>
                <w:szCs w:val="20"/>
              </w:rPr>
              <w:t xml:space="preserve">Sum Insured</w:t>
            </w:r>
          </w:p>
        </w:tc>
        <w:tc>
          <w:tcPr>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Included up to sum insured (R2,947,241.03)</w:t>
            </w:r>
          </w:p>
        </w:tc>
        <w:tc>
          <w:tcPr>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R10,000</w:t>
            </w:r>
          </w:p>
        </w:tc>
        <w:tc>
          <w:tcPr>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covered</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bCs/>
                <w:i w:val="false"/>
                <w:iCs w:val="false"/>
                <w:color w:val="000000"/>
                <w:sz w:val="20"/>
                <w:szCs w:val="20"/>
              </w:rPr>
              <w:t xml:space="preserve">Premium</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R0.00 (included)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R4.86 monthly</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taken</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bCs/>
                <w:i w:val="false"/>
                <w:iCs w:val="false"/>
                <w:color w:val="000000"/>
                <w:sz w:val="20"/>
                <w:szCs w:val="20"/>
              </w:rPr>
              <w:t xml:space="preserve">Security Details</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Comprehensive contents</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Accidental damage not otherwise covered: Yes</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Comprehensive contents</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Accidental damage to contents: No</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bCs/>
                <w:i w:val="false"/>
                <w:iCs w:val="false"/>
                <w:color w:val="000000"/>
                <w:sz w:val="20"/>
                <w:szCs w:val="20"/>
              </w:rPr>
              <w:t xml:space="preserve">Accidental damage cover</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Included up to sum insured; TV sets and glass at item sum insured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R10,000 (selectable R5,000 to R100,000); TV and mirror glass accidental damage reasonable</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covered (extension not selected)</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  - Conditions</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Optional extra accidental damage cover: not selected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  - Exclusions</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Goods in storage: no cover for damage in storage or pre-existing damage</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bCs/>
                <w:i w:val="false"/>
                <w:iCs w:val="false"/>
                <w:color w:val="000000"/>
                <w:sz w:val="20"/>
                <w:szCs w:val="20"/>
              </w:rPr>
              <w:t xml:space="preserve">Excess</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Basic R1,750</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10% of claim, minimum R500</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 – basic R2,000</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R1,000 if selected</w:t>
            </w:r>
          </w:p>
        </w:tc>
      </w:tr>
    </w:tbl>
    <w:p>
      <w:pPr>
        <w:spacing w:before="160" w:after="160"/>
      </w:pPr>
      <w:r>
        <w:t xml:space="preserve"/>
      </w:r>
    </w:p>
    <w:p>
      <w:pPr>
        <w:pStyle w:val="Heading1"/>
        <w:keepNext/>
        <w:keepLines/>
        <w:pBdr>
          <w:bottom w:val="single" w:color="D3DBDD" w:sz="4" w:space="4"/>
        </w:pBdr>
        <w:spacing w:before="360" w:after="160"/>
      </w:pPr>
      <w:r>
        <w:rPr>
          <w:rFonts w:ascii="Calibri" w:cs="Calibri" w:eastAsia="Calibri" w:hAnsi="Calibri"/>
          <w:b/>
          <w:bCs/>
          <w:color w:val="000000"/>
          <w:sz w:val="36"/>
          <w:szCs w:val="36"/>
        </w:rPr>
        <w:t xml:space="preserve">27. </w:t>
      </w:r>
      <w:r>
        <w:rPr>
          <w:rFonts w:ascii="Calibri" w:cs="Calibri" w:eastAsia="Calibri" w:hAnsi="Calibri"/>
          <w:b/>
          <w:bCs/>
          <w:color w:val="000000"/>
          <w:sz w:val="36"/>
          <w:szCs w:val="36"/>
        </w:rPr>
        <w:t xml:space="preserve">Home industry stock in trade</w:t>
      </w:r>
    </w:p>
    <w:tbl>
      <w:tblPr>
        <w:tblW w:type="pct" w:w="5000%"/>
        <w:tblBorders>
          <w:top w:val="single" w:color="D3DBDD" w:sz="4"/>
          <w:left w:val="single" w:color="D3DBDD" w:sz="4"/>
          <w:bottom w:val="single" w:color="D3DBDD" w:sz="4"/>
          <w:right w:val="single" w:color="D3DBDD" w:sz="4"/>
          <w:insideH w:val="single" w:color="D3DBDD" w:sz="4"/>
          <w:insideV w:val="single" w:color="D3DBDD" w:sz="4"/>
        </w:tblBorders>
        <w:tblLayout w:type="fixed"/>
      </w:tblPr>
      <w:tblGrid>
        <w:gridCol w:w="2907"/>
        <w:gridCol w:w="1890"/>
        <w:gridCol w:w="1890"/>
        <w:gridCol w:w="1890"/>
        <w:gridCol w:w="1889"/>
      </w:tblGrid>
      <w:tr>
        <w:trPr>
          <w:cantSplit/>
          <w:tblHeader/>
        </w:trPr>
        <w:tc>
          <w:tcPr>
            <w:tcBorders>
              <w:bottom w:val="single" w:color="2F3437" w:sz="4"/>
            </w:tcBorders>
            <w:shd w:fill="2F3437" w:color="2F3437" w:val="clear"/>
            <w:tcMar>
              <w:top w:type="dxa" w:w="144"/>
              <w:left w:type="dxa" w:w="144"/>
              <w:bottom w:type="dxa" w:w="104"/>
              <w:right w:type="dxa" w:w="144"/>
            </w:tcMar>
            <w:vAlign w:val="center"/>
          </w:tcPr>
          <w:p>
            <w:pPr>
              <w:keepNext/>
              <w:jc w:val="left"/>
            </w:pPr>
            <w:r>
              <w:rPr>
                <w:rFonts w:ascii="Calibri" w:cs="Calibri" w:eastAsia="Calibri" w:hAnsi="Calibri"/>
                <w:b/>
                <w:bCs/>
                <w:color w:val="FFFFFF"/>
                <w:spacing w:val="20"/>
                <w:sz w:val="16"/>
                <w:szCs w:val="16"/>
              </w:rPr>
              <w:t xml:space="preserve">ITEM</w:t>
            </w:r>
          </w:p>
        </w:tc>
        <w:tc>
          <w:tcPr>
            <w:tcBorders>
              <w:bottom w:val="single" w:color="2F3437" w:sz="4"/>
            </w:tcBorders>
            <w:shd w:fill="2F3437" w:color="2F3437" w:val="clear"/>
            <w:tcMar>
              <w:top w:type="dxa" w:w="144"/>
              <w:left w:type="dxa" w:w="144"/>
              <w:bottom w:type="dxa" w:w="104"/>
              <w:right w:type="dxa" w:w="144"/>
            </w:tcMar>
            <w:vAlign w:val="center"/>
          </w:tcPr>
          <w:p>
            <w:pPr>
              <w:keepNext/>
              <w:jc w:val="left"/>
            </w:pPr>
            <w:r>
              <w:rPr>
                <w:rFonts w:ascii="Calibri" w:cs="Calibri" w:eastAsia="Calibri" w:hAnsi="Calibri"/>
                <w:b/>
                <w:bCs/>
                <w:color w:val="FFFFFF"/>
                <w:spacing w:val="20"/>
                <w:sz w:val="16"/>
                <w:szCs w:val="16"/>
              </w:rPr>
              <w:t xml:space="preserve">DISCOVERY INSURE PURPLE PLAN QTE-0000001 (CURRENT POLICY)</w:t>
            </w:r>
          </w:p>
        </w:tc>
        <w:tc>
          <w:tcPr>
            <w:tcBorders>
              <w:bottom w:val="single" w:color="2F3437" w:sz="4"/>
            </w:tcBorders>
            <w:shd w:fill="2F3437" w:color="2F3437" w:val="clear"/>
            <w:tcMar>
              <w:top w:type="dxa" w:w="144"/>
              <w:left w:type="dxa" w:w="144"/>
              <w:bottom w:type="dxa" w:w="104"/>
              <w:right w:type="dxa" w:w="144"/>
            </w:tcMar>
            <w:vAlign w:val="center"/>
          </w:tcPr>
          <w:p>
            <w:pPr>
              <w:keepNext/>
              <w:jc w:val="left"/>
            </w:pPr>
            <w:r>
              <w:rPr>
                <w:rFonts w:ascii="Calibri" w:cs="Calibri" w:eastAsia="Calibri" w:hAnsi="Calibri"/>
                <w:b/>
                <w:bCs/>
                <w:color w:val="FFFFFF"/>
                <w:spacing w:val="20"/>
                <w:sz w:val="16"/>
                <w:szCs w:val="16"/>
              </w:rPr>
              <w:t xml:space="preserve">BRYTE PERSONAL POLICY QTE-0000002</w:t>
            </w:r>
          </w:p>
        </w:tc>
        <w:tc>
          <w:tcPr>
            <w:tcBorders>
              <w:bottom w:val="single" w:color="2F3437" w:sz="4"/>
            </w:tcBorders>
            <w:shd w:fill="2F3437" w:color="2F3437" w:val="clear"/>
            <w:tcMar>
              <w:top w:type="dxa" w:w="144"/>
              <w:left w:type="dxa" w:w="144"/>
              <w:bottom w:type="dxa" w:w="104"/>
              <w:right w:type="dxa" w:w="144"/>
            </w:tcMar>
            <w:vAlign w:val="center"/>
          </w:tcPr>
          <w:p>
            <w:pPr>
              <w:keepNext/>
              <w:jc w:val="left"/>
            </w:pPr>
            <w:r>
              <w:rPr>
                <w:rFonts w:ascii="Calibri" w:cs="Calibri" w:eastAsia="Calibri" w:hAnsi="Calibri"/>
                <w:b/>
                <w:bCs/>
                <w:color w:val="FFFFFF"/>
                <w:spacing w:val="20"/>
                <w:sz w:val="16"/>
                <w:szCs w:val="16"/>
              </w:rPr>
              <w:t xml:space="preserve">MUA EXECUTIVE POLICY QTE-0000003</w:t>
            </w:r>
          </w:p>
        </w:tc>
        <w:tc>
          <w:tcPr>
            <w:tcBorders>
              <w:bottom w:val="single" w:color="2F3437" w:sz="4"/>
            </w:tcBorders>
            <w:shd w:fill="2F3437" w:color="2F3437" w:val="clear"/>
            <w:tcMar>
              <w:top w:type="dxa" w:w="144"/>
              <w:left w:type="dxa" w:w="144"/>
              <w:bottom w:type="dxa" w:w="104"/>
              <w:right w:type="dxa" w:w="144"/>
            </w:tcMar>
            <w:vAlign w:val="center"/>
          </w:tcPr>
          <w:p>
            <w:pPr>
              <w:keepNext/>
              <w:jc w:val="left"/>
            </w:pPr>
            <w:r>
              <w:rPr>
                <w:rFonts w:ascii="Calibri" w:cs="Calibri" w:eastAsia="Calibri" w:hAnsi="Calibri"/>
                <w:b/>
                <w:bCs/>
                <w:color w:val="FFFFFF"/>
                <w:spacing w:val="20"/>
                <w:sz w:val="16"/>
                <w:szCs w:val="16"/>
              </w:rPr>
              <w:t xml:space="preserve">APEX PINNACLE PERSONAL QTE-0000004</w:t>
            </w:r>
          </w:p>
        </w:tc>
      </w:tr>
      <w:tr>
        <w:trPr>
          <w:cantSplit/>
        </w:trPr>
        <w:tc>
          <w:tcPr>
            <w:tcMar>
              <w:top w:type="dxa" w:w="144"/>
              <w:left w:type="dxa" w:w="144"/>
              <w:bottom w:type="dxa" w:w="104"/>
              <w:right w:type="dxa" w:w="144"/>
            </w:tcMar>
          </w:tcPr>
          <w:p>
            <w:pPr>
              <w:spacing w:before="0" w:after="40"/>
              <w:jc w:val="left"/>
            </w:pPr>
            <w:r>
              <w:rPr>
                <w:rFonts w:ascii="Calibri" w:cs="Calibri" w:eastAsia="Calibri" w:hAnsi="Calibri"/>
                <w:b/>
                <w:bCs/>
                <w:i w:val="false"/>
                <w:iCs w:val="false"/>
                <w:color w:val="000000"/>
                <w:sz w:val="20"/>
                <w:szCs w:val="20"/>
              </w:rPr>
              <w:t xml:space="preserve">Sum Insured</w:t>
            </w:r>
          </w:p>
        </w:tc>
        <w:tc>
          <w:tcPr>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Lesser of 35% of sum insured or R50,000 (business from home benefit)</w:t>
            </w:r>
          </w:p>
        </w:tc>
        <w:tc>
          <w:tcPr>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covered</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bCs/>
                <w:i w:val="false"/>
                <w:iCs w:val="false"/>
                <w:color w:val="000000"/>
                <w:sz w:val="20"/>
                <w:szCs w:val="20"/>
              </w:rPr>
              <w:t xml:space="preserve">Premium</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Included in contents</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taken</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bCs/>
                <w:i w:val="false"/>
                <w:iCs w:val="false"/>
                <w:color w:val="000000"/>
                <w:sz w:val="20"/>
                <w:szCs w:val="20"/>
              </w:rPr>
              <w:t xml:space="preserve">Security Details</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Business use: No</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Personal Legal Responsibility business from home: No</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Home industry stock in trade: No</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bCs/>
                <w:i w:val="false"/>
                <w:iCs w:val="false"/>
                <w:color w:val="000000"/>
                <w:sz w:val="20"/>
                <w:szCs w:val="20"/>
              </w:rPr>
              <w:t xml:space="preserve">Stock in trade from a home business</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Business from home: lesser of 35% of sum insured or R50,000</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covered</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  - Conditions</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Business use limits theft cover to forcible and violent entry</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Applies under household contents</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r>
    </w:tbl>
    <w:p>
      <w:pPr>
        <w:spacing w:before="160" w:after="160"/>
      </w:pPr>
      <w:r>
        <w:t xml:space="preserve"/>
      </w:r>
    </w:p>
    <w:p>
      <w:pPr>
        <w:pStyle w:val="Heading1"/>
        <w:keepNext/>
        <w:keepLines/>
        <w:pBdr>
          <w:bottom w:val="single" w:color="D3DBDD" w:sz="4" w:space="4"/>
        </w:pBdr>
        <w:spacing w:before="360" w:after="160"/>
      </w:pPr>
      <w:r>
        <w:rPr>
          <w:rFonts w:ascii="Calibri" w:cs="Calibri" w:eastAsia="Calibri" w:hAnsi="Calibri"/>
          <w:b/>
          <w:bCs/>
          <w:color w:val="000000"/>
          <w:sz w:val="36"/>
          <w:szCs w:val="36"/>
        </w:rPr>
        <w:t xml:space="preserve">28. </w:t>
      </w:r>
      <w:r>
        <w:rPr>
          <w:rFonts w:ascii="Calibri" w:cs="Calibri" w:eastAsia="Calibri" w:hAnsi="Calibri"/>
          <w:b/>
          <w:bCs/>
          <w:color w:val="000000"/>
          <w:sz w:val="36"/>
          <w:szCs w:val="36"/>
        </w:rPr>
        <w:t xml:space="preserve">On-the go personal property</w:t>
      </w:r>
    </w:p>
    <w:tbl>
      <w:tblPr>
        <w:tblW w:type="pct" w:w="5000%"/>
        <w:tblBorders>
          <w:top w:val="single" w:color="D3DBDD" w:sz="4"/>
          <w:left w:val="single" w:color="D3DBDD" w:sz="4"/>
          <w:bottom w:val="single" w:color="D3DBDD" w:sz="4"/>
          <w:right w:val="single" w:color="D3DBDD" w:sz="4"/>
          <w:insideH w:val="single" w:color="D3DBDD" w:sz="4"/>
          <w:insideV w:val="single" w:color="D3DBDD" w:sz="4"/>
        </w:tblBorders>
        <w:tblLayout w:type="fixed"/>
      </w:tblPr>
      <w:tblGrid>
        <w:gridCol w:w="2907"/>
        <w:gridCol w:w="1890"/>
        <w:gridCol w:w="1890"/>
        <w:gridCol w:w="1890"/>
        <w:gridCol w:w="1889"/>
      </w:tblGrid>
      <w:tr>
        <w:trPr>
          <w:cantSplit/>
          <w:tblHeader/>
        </w:trPr>
        <w:tc>
          <w:tcPr>
            <w:tcBorders>
              <w:bottom w:val="single" w:color="2F3437" w:sz="4"/>
            </w:tcBorders>
            <w:shd w:fill="2F3437" w:color="2F3437" w:val="clear"/>
            <w:tcMar>
              <w:top w:type="dxa" w:w="144"/>
              <w:left w:type="dxa" w:w="144"/>
              <w:bottom w:type="dxa" w:w="104"/>
              <w:right w:type="dxa" w:w="144"/>
            </w:tcMar>
            <w:vAlign w:val="center"/>
          </w:tcPr>
          <w:p>
            <w:pPr>
              <w:keepNext/>
              <w:jc w:val="left"/>
            </w:pPr>
            <w:r>
              <w:rPr>
                <w:rFonts w:ascii="Calibri" w:cs="Calibri" w:eastAsia="Calibri" w:hAnsi="Calibri"/>
                <w:b/>
                <w:bCs/>
                <w:color w:val="FFFFFF"/>
                <w:spacing w:val="20"/>
                <w:sz w:val="16"/>
                <w:szCs w:val="16"/>
              </w:rPr>
              <w:t xml:space="preserve">ITEM</w:t>
            </w:r>
          </w:p>
        </w:tc>
        <w:tc>
          <w:tcPr>
            <w:tcBorders>
              <w:bottom w:val="single" w:color="2F3437" w:sz="4"/>
            </w:tcBorders>
            <w:shd w:fill="2F3437" w:color="2F3437" w:val="clear"/>
            <w:tcMar>
              <w:top w:type="dxa" w:w="144"/>
              <w:left w:type="dxa" w:w="144"/>
              <w:bottom w:type="dxa" w:w="104"/>
              <w:right w:type="dxa" w:w="144"/>
            </w:tcMar>
            <w:vAlign w:val="center"/>
          </w:tcPr>
          <w:p>
            <w:pPr>
              <w:keepNext/>
              <w:jc w:val="left"/>
            </w:pPr>
            <w:r>
              <w:rPr>
                <w:rFonts w:ascii="Calibri" w:cs="Calibri" w:eastAsia="Calibri" w:hAnsi="Calibri"/>
                <w:b/>
                <w:bCs/>
                <w:color w:val="FFFFFF"/>
                <w:spacing w:val="20"/>
                <w:sz w:val="16"/>
                <w:szCs w:val="16"/>
              </w:rPr>
              <w:t xml:space="preserve">DISCOVERY INSURE PURPLE PLAN QTE-0000001 (CURRENT POLICY)</w:t>
            </w:r>
          </w:p>
        </w:tc>
        <w:tc>
          <w:tcPr>
            <w:tcBorders>
              <w:bottom w:val="single" w:color="2F3437" w:sz="4"/>
            </w:tcBorders>
            <w:shd w:fill="2F3437" w:color="2F3437" w:val="clear"/>
            <w:tcMar>
              <w:top w:type="dxa" w:w="144"/>
              <w:left w:type="dxa" w:w="144"/>
              <w:bottom w:type="dxa" w:w="104"/>
              <w:right w:type="dxa" w:w="144"/>
            </w:tcMar>
            <w:vAlign w:val="center"/>
          </w:tcPr>
          <w:p>
            <w:pPr>
              <w:keepNext/>
              <w:jc w:val="left"/>
            </w:pPr>
            <w:r>
              <w:rPr>
                <w:rFonts w:ascii="Calibri" w:cs="Calibri" w:eastAsia="Calibri" w:hAnsi="Calibri"/>
                <w:b/>
                <w:bCs/>
                <w:color w:val="FFFFFF"/>
                <w:spacing w:val="20"/>
                <w:sz w:val="16"/>
                <w:szCs w:val="16"/>
              </w:rPr>
              <w:t xml:space="preserve">BRYTE PERSONAL POLICY QTE-0000002</w:t>
            </w:r>
          </w:p>
        </w:tc>
        <w:tc>
          <w:tcPr>
            <w:tcBorders>
              <w:bottom w:val="single" w:color="2F3437" w:sz="4"/>
            </w:tcBorders>
            <w:shd w:fill="2F3437" w:color="2F3437" w:val="clear"/>
            <w:tcMar>
              <w:top w:type="dxa" w:w="144"/>
              <w:left w:type="dxa" w:w="144"/>
              <w:bottom w:type="dxa" w:w="104"/>
              <w:right w:type="dxa" w:w="144"/>
            </w:tcMar>
            <w:vAlign w:val="center"/>
          </w:tcPr>
          <w:p>
            <w:pPr>
              <w:keepNext/>
              <w:jc w:val="left"/>
            </w:pPr>
            <w:r>
              <w:rPr>
                <w:rFonts w:ascii="Calibri" w:cs="Calibri" w:eastAsia="Calibri" w:hAnsi="Calibri"/>
                <w:b/>
                <w:bCs/>
                <w:color w:val="FFFFFF"/>
                <w:spacing w:val="20"/>
                <w:sz w:val="16"/>
                <w:szCs w:val="16"/>
              </w:rPr>
              <w:t xml:space="preserve">MUA EXECUTIVE POLICY QTE-0000003</w:t>
            </w:r>
          </w:p>
        </w:tc>
        <w:tc>
          <w:tcPr>
            <w:tcBorders>
              <w:bottom w:val="single" w:color="2F3437" w:sz="4"/>
            </w:tcBorders>
            <w:shd w:fill="2F3437" w:color="2F3437" w:val="clear"/>
            <w:tcMar>
              <w:top w:type="dxa" w:w="144"/>
              <w:left w:type="dxa" w:w="144"/>
              <w:bottom w:type="dxa" w:w="104"/>
              <w:right w:type="dxa" w:w="144"/>
            </w:tcMar>
            <w:vAlign w:val="center"/>
          </w:tcPr>
          <w:p>
            <w:pPr>
              <w:keepNext/>
              <w:jc w:val="left"/>
            </w:pPr>
            <w:r>
              <w:rPr>
                <w:rFonts w:ascii="Calibri" w:cs="Calibri" w:eastAsia="Calibri" w:hAnsi="Calibri"/>
                <w:b/>
                <w:bCs/>
                <w:color w:val="FFFFFF"/>
                <w:spacing w:val="20"/>
                <w:sz w:val="16"/>
                <w:szCs w:val="16"/>
              </w:rPr>
              <w:t xml:space="preserve">APEX PINNACLE PERSONAL QTE-0000004</w:t>
            </w:r>
          </w:p>
        </w:tc>
      </w:tr>
      <w:tr>
        <w:trPr>
          <w:cantSplit/>
        </w:trPr>
        <w:tc>
          <w:tcPr>
            <w:tcMar>
              <w:top w:type="dxa" w:w="144"/>
              <w:left w:type="dxa" w:w="144"/>
              <w:bottom w:type="dxa" w:w="104"/>
              <w:right w:type="dxa" w:w="144"/>
            </w:tcMar>
          </w:tcPr>
          <w:p>
            <w:pPr>
              <w:spacing w:before="0" w:after="40"/>
              <w:jc w:val="left"/>
            </w:pPr>
            <w:r>
              <w:rPr>
                <w:rFonts w:ascii="Calibri" w:cs="Calibri" w:eastAsia="Calibri" w:hAnsi="Calibri"/>
                <w:b/>
                <w:bCs/>
                <w:i w:val="false"/>
                <w:iCs w:val="false"/>
                <w:color w:val="000000"/>
                <w:sz w:val="20"/>
                <w:szCs w:val="20"/>
              </w:rPr>
              <w:t xml:space="preserve">Sum Insured</w:t>
            </w:r>
          </w:p>
        </w:tc>
        <w:tc>
          <w:tcPr>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R219,307.64 (portable possessions)</w:t>
            </w:r>
          </w:p>
        </w:tc>
        <w:tc>
          <w:tcPr>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R219,308 (specific items all risk)</w:t>
            </w:r>
          </w:p>
        </w:tc>
        <w:tc>
          <w:tcPr>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R125,107.64 unspecified plus R94,200.00 specified</w:t>
            </w:r>
          </w:p>
        </w:tc>
        <w:tc>
          <w:tcPr>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R219,308 (all risks); on-the-go extension: No</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bCs/>
                <w:i w:val="false"/>
                <w:iCs w:val="false"/>
                <w:color w:val="000000"/>
                <w:sz w:val="20"/>
                <w:szCs w:val="20"/>
              </w:rPr>
              <w:t xml:space="preserve">Premium</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R1,913.62 monthly</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R814.63 monthly</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R1,265.87 monthly</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R1,913.62 monthly (all risks)</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bCs/>
                <w:i w:val="false"/>
                <w:iCs w:val="false"/>
                <w:color w:val="000000"/>
                <w:sz w:val="20"/>
                <w:szCs w:val="20"/>
              </w:rPr>
              <w:t xml:space="preserve">Security Details</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Jewellery over R50,000 per item must be kept in a locked safe when not in use</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Jewellery over R10,000 must be in a SABS wall- or floor-mounted safe when not worn</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Jewellery and watches over the schedule limit to be kept in a locked safe</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bCs/>
                <w:i w:val="false"/>
                <w:iCs w:val="false"/>
                <w:color w:val="000000"/>
                <w:sz w:val="20"/>
                <w:szCs w:val="20"/>
              </w:rPr>
              <w:t xml:space="preserve">General and clothing (unspecified items)</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R125,107.64; premium R1,455.35; item limit 25% of sum insured, max R150,000</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R125,108; premium R403.09; unspecified items limited to 25% of sum insured, item limit R6,000</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R125,107.64; premium R869.00</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R125,108; premium R1,455.35</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  - Conditions</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Basic excess R1,000</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Unspecified claim excess R500</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10% of claim, minimum R1,250</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  - Policy Terms</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Without proof of ownership, compensation limited to R7,500</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bCs/>
                <w:i w:val="false"/>
                <w:iCs w:val="false"/>
                <w:color w:val="000000"/>
                <w:sz w:val="20"/>
                <w:szCs w:val="20"/>
              </w:rPr>
              <w:t xml:space="preserve">Jewellery (platinum ring)</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R51,400.00; premium R200.82; excess R1,000</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R51,400; premium R189.95; excess R250 per item</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R51,400.00; premium R163.42</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R51,400; premium R200.82</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  - Conditions</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Pick my jeweller: Yes</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Valuation certificate required for items over R10,000</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Valuation by independent jeweller less than 5 years old</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  - Exclusions</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Claim repudiated or limited to R10,000 per item if not worn or in a compliant safe</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 cover if item not in safe when required</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bCs/>
                <w:i w:val="false"/>
                <w:iCs w:val="false"/>
                <w:color w:val="000000"/>
                <w:sz w:val="20"/>
                <w:szCs w:val="20"/>
              </w:rPr>
              <w:t xml:space="preserve">Pedal cycle (full-suspension mountain bike)</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R42,800.00; premium R257.45; excess R1,000</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R42,800; premium R221.59; excess R1,000</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R42,800.00; premium R233.45</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R42,800; premium R257.45</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  - Conditions</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Valuation, invoice or catalogue value required, otherwise no cover</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  - Policy Terms</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Remote jamming extension: R30,000 with additional 10% excess</w:t>
            </w:r>
          </w:p>
        </w:tc>
      </w:tr>
    </w:tbl>
    <w:p>
      <w:pPr>
        <w:spacing w:before="160" w:after="160"/>
      </w:pPr>
      <w:r>
        <w:t xml:space="preserve"/>
      </w:r>
    </w:p>
    <w:p>
      <w:pPr>
        <w:pStyle w:val="Heading1"/>
        <w:keepNext/>
        <w:keepLines/>
        <w:pBdr>
          <w:bottom w:val="single" w:color="D3DBDD" w:sz="4" w:space="4"/>
        </w:pBdr>
        <w:spacing w:before="360" w:after="160"/>
      </w:pPr>
      <w:r>
        <w:rPr>
          <w:rFonts w:ascii="Calibri" w:cs="Calibri" w:eastAsia="Calibri" w:hAnsi="Calibri"/>
          <w:b/>
          <w:bCs/>
          <w:color w:val="000000"/>
          <w:sz w:val="36"/>
          <w:szCs w:val="36"/>
        </w:rPr>
        <w:t xml:space="preserve">29. </w:t>
      </w:r>
      <w:r>
        <w:rPr>
          <w:rFonts w:ascii="Calibri" w:cs="Calibri" w:eastAsia="Calibri" w:hAnsi="Calibri"/>
          <w:b/>
          <w:bCs/>
          <w:color w:val="000000"/>
          <w:sz w:val="36"/>
          <w:szCs w:val="36"/>
        </w:rPr>
        <w:t xml:space="preserve">Retail value extender</w:t>
      </w:r>
    </w:p>
    <w:tbl>
      <w:tblPr>
        <w:tblW w:type="pct" w:w="5000%"/>
        <w:tblBorders>
          <w:top w:val="single" w:color="D3DBDD" w:sz="4"/>
          <w:left w:val="single" w:color="D3DBDD" w:sz="4"/>
          <w:bottom w:val="single" w:color="D3DBDD" w:sz="4"/>
          <w:right w:val="single" w:color="D3DBDD" w:sz="4"/>
          <w:insideH w:val="single" w:color="D3DBDD" w:sz="4"/>
          <w:insideV w:val="single" w:color="D3DBDD" w:sz="4"/>
        </w:tblBorders>
        <w:tblLayout w:type="fixed"/>
      </w:tblPr>
      <w:tblGrid>
        <w:gridCol w:w="2907"/>
        <w:gridCol w:w="1890"/>
        <w:gridCol w:w="1890"/>
        <w:gridCol w:w="1890"/>
        <w:gridCol w:w="1889"/>
      </w:tblGrid>
      <w:tr>
        <w:trPr>
          <w:cantSplit/>
          <w:tblHeader/>
        </w:trPr>
        <w:tc>
          <w:tcPr>
            <w:tcBorders>
              <w:bottom w:val="single" w:color="2F3437" w:sz="4"/>
            </w:tcBorders>
            <w:shd w:fill="2F3437" w:color="2F3437" w:val="clear"/>
            <w:tcMar>
              <w:top w:type="dxa" w:w="144"/>
              <w:left w:type="dxa" w:w="144"/>
              <w:bottom w:type="dxa" w:w="104"/>
              <w:right w:type="dxa" w:w="144"/>
            </w:tcMar>
            <w:vAlign w:val="center"/>
          </w:tcPr>
          <w:p>
            <w:pPr>
              <w:keepNext/>
              <w:jc w:val="left"/>
            </w:pPr>
            <w:r>
              <w:rPr>
                <w:rFonts w:ascii="Calibri" w:cs="Calibri" w:eastAsia="Calibri" w:hAnsi="Calibri"/>
                <w:b/>
                <w:bCs/>
                <w:color w:val="FFFFFF"/>
                <w:spacing w:val="20"/>
                <w:sz w:val="16"/>
                <w:szCs w:val="16"/>
              </w:rPr>
              <w:t xml:space="preserve">ITEM</w:t>
            </w:r>
          </w:p>
        </w:tc>
        <w:tc>
          <w:tcPr>
            <w:tcBorders>
              <w:bottom w:val="single" w:color="2F3437" w:sz="4"/>
            </w:tcBorders>
            <w:shd w:fill="2F3437" w:color="2F3437" w:val="clear"/>
            <w:tcMar>
              <w:top w:type="dxa" w:w="144"/>
              <w:left w:type="dxa" w:w="144"/>
              <w:bottom w:type="dxa" w:w="104"/>
              <w:right w:type="dxa" w:w="144"/>
            </w:tcMar>
            <w:vAlign w:val="center"/>
          </w:tcPr>
          <w:p>
            <w:pPr>
              <w:keepNext/>
              <w:jc w:val="left"/>
            </w:pPr>
            <w:r>
              <w:rPr>
                <w:rFonts w:ascii="Calibri" w:cs="Calibri" w:eastAsia="Calibri" w:hAnsi="Calibri"/>
                <w:b/>
                <w:bCs/>
                <w:color w:val="FFFFFF"/>
                <w:spacing w:val="20"/>
                <w:sz w:val="16"/>
                <w:szCs w:val="16"/>
              </w:rPr>
              <w:t xml:space="preserve">DISCOVERY INSURE PURPLE PLAN QTE-0000001 (CURRENT POLICY)</w:t>
            </w:r>
          </w:p>
        </w:tc>
        <w:tc>
          <w:tcPr>
            <w:tcBorders>
              <w:bottom w:val="single" w:color="2F3437" w:sz="4"/>
            </w:tcBorders>
            <w:shd w:fill="2F3437" w:color="2F3437" w:val="clear"/>
            <w:tcMar>
              <w:top w:type="dxa" w:w="144"/>
              <w:left w:type="dxa" w:w="144"/>
              <w:bottom w:type="dxa" w:w="104"/>
              <w:right w:type="dxa" w:w="144"/>
            </w:tcMar>
            <w:vAlign w:val="center"/>
          </w:tcPr>
          <w:p>
            <w:pPr>
              <w:keepNext/>
              <w:jc w:val="left"/>
            </w:pPr>
            <w:r>
              <w:rPr>
                <w:rFonts w:ascii="Calibri" w:cs="Calibri" w:eastAsia="Calibri" w:hAnsi="Calibri"/>
                <w:b/>
                <w:bCs/>
                <w:color w:val="FFFFFF"/>
                <w:spacing w:val="20"/>
                <w:sz w:val="16"/>
                <w:szCs w:val="16"/>
              </w:rPr>
              <w:t xml:space="preserve">BRYTE PERSONAL POLICY QTE-0000002</w:t>
            </w:r>
          </w:p>
        </w:tc>
        <w:tc>
          <w:tcPr>
            <w:tcBorders>
              <w:bottom w:val="single" w:color="2F3437" w:sz="4"/>
            </w:tcBorders>
            <w:shd w:fill="2F3437" w:color="2F3437" w:val="clear"/>
            <w:tcMar>
              <w:top w:type="dxa" w:w="144"/>
              <w:left w:type="dxa" w:w="144"/>
              <w:bottom w:type="dxa" w:w="104"/>
              <w:right w:type="dxa" w:w="144"/>
            </w:tcMar>
            <w:vAlign w:val="center"/>
          </w:tcPr>
          <w:p>
            <w:pPr>
              <w:keepNext/>
              <w:jc w:val="left"/>
            </w:pPr>
            <w:r>
              <w:rPr>
                <w:rFonts w:ascii="Calibri" w:cs="Calibri" w:eastAsia="Calibri" w:hAnsi="Calibri"/>
                <w:b/>
                <w:bCs/>
                <w:color w:val="FFFFFF"/>
                <w:spacing w:val="20"/>
                <w:sz w:val="16"/>
                <w:szCs w:val="16"/>
              </w:rPr>
              <w:t xml:space="preserve">MUA EXECUTIVE POLICY QTE-0000003</w:t>
            </w:r>
          </w:p>
        </w:tc>
        <w:tc>
          <w:tcPr>
            <w:tcBorders>
              <w:bottom w:val="single" w:color="2F3437" w:sz="4"/>
            </w:tcBorders>
            <w:shd w:fill="2F3437" w:color="2F3437" w:val="clear"/>
            <w:tcMar>
              <w:top w:type="dxa" w:w="144"/>
              <w:left w:type="dxa" w:w="144"/>
              <w:bottom w:type="dxa" w:w="104"/>
              <w:right w:type="dxa" w:w="144"/>
            </w:tcMar>
            <w:vAlign w:val="center"/>
          </w:tcPr>
          <w:p>
            <w:pPr>
              <w:keepNext/>
              <w:jc w:val="left"/>
            </w:pPr>
            <w:r>
              <w:rPr>
                <w:rFonts w:ascii="Calibri" w:cs="Calibri" w:eastAsia="Calibri" w:hAnsi="Calibri"/>
                <w:b/>
                <w:bCs/>
                <w:color w:val="FFFFFF"/>
                <w:spacing w:val="20"/>
                <w:sz w:val="16"/>
                <w:szCs w:val="16"/>
              </w:rPr>
              <w:t xml:space="preserve">APEX PINNACLE PERSONAL QTE-0000004</w:t>
            </w:r>
          </w:p>
        </w:tc>
      </w:tr>
      <w:tr>
        <w:trPr>
          <w:cantSplit/>
        </w:trPr>
        <w:tc>
          <w:tcPr>
            <w:tcMar>
              <w:top w:type="dxa" w:w="144"/>
              <w:left w:type="dxa" w:w="144"/>
              <w:bottom w:type="dxa" w:w="104"/>
              <w:right w:type="dxa" w:w="144"/>
            </w:tcMar>
          </w:tcPr>
          <w:p>
            <w:pPr>
              <w:spacing w:before="0" w:after="40"/>
              <w:jc w:val="left"/>
            </w:pPr>
            <w:r>
              <w:rPr>
                <w:rFonts w:ascii="Calibri" w:cs="Calibri" w:eastAsia="Calibri" w:hAnsi="Calibri"/>
                <w:b/>
                <w:bCs/>
                <w:i w:val="false"/>
                <w:iCs w:val="false"/>
                <w:color w:val="000000"/>
                <w:sz w:val="20"/>
                <w:szCs w:val="20"/>
              </w:rPr>
              <w:t xml:space="preserve">Sum Insured</w:t>
            </w:r>
          </w:p>
        </w:tc>
        <w:tc>
          <w:tcPr>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Retail value (basis of settlement)</w:t>
            </w:r>
          </w:p>
        </w:tc>
        <w:tc>
          <w:tcPr>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Retail value (basis of settlement)</w:t>
            </w:r>
          </w:p>
        </w:tc>
        <w:tc>
          <w:tcPr>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covered</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bCs/>
                <w:i w:val="false"/>
                <w:iCs w:val="false"/>
                <w:color w:val="000000"/>
                <w:sz w:val="20"/>
                <w:szCs w:val="20"/>
              </w:rPr>
              <w:t xml:space="preserve">Premium</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taken</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bCs/>
                <w:i w:val="false"/>
                <w:iCs w:val="false"/>
                <w:color w:val="000000"/>
                <w:sz w:val="20"/>
                <w:szCs w:val="20"/>
              </w:rPr>
              <w:t xml:space="preserve">Security Details</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Write-off accelerator: Not selected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Retail value extender: No (both vehicles); write-off accelerator: No</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bCs/>
                <w:i w:val="false"/>
                <w:iCs w:val="false"/>
                <w:color w:val="000000"/>
                <w:sz w:val="20"/>
                <w:szCs w:val="20"/>
              </w:rPr>
              <w:t xml:space="preserve">Retail value extender</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 – vehicles insured at retail value</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 – vehicles insured at retail value (VW Polo and Toyota)</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 – Polo R110,600.00; Toyota R549,200.00 plus R3,000.00 accessories</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covered – sum insured R110,600 (Polo) and R549,200 (Toyota)</w:t>
            </w:r>
          </w:p>
        </w:tc>
      </w:tr>
    </w:tbl>
    <w:p>
      <w:pPr>
        <w:spacing w:before="160" w:after="160"/>
      </w:pPr>
      <w:r>
        <w:t xml:space="preserve"/>
      </w:r>
    </w:p>
    <w:p>
      <w:pPr>
        <w:pStyle w:val="Heading1"/>
        <w:keepNext/>
        <w:keepLines/>
        <w:pBdr>
          <w:bottom w:val="single" w:color="D3DBDD" w:sz="4" w:space="4"/>
        </w:pBdr>
        <w:spacing w:before="360" w:after="160"/>
      </w:pPr>
      <w:r>
        <w:rPr>
          <w:rFonts w:ascii="Calibri" w:cs="Calibri" w:eastAsia="Calibri" w:hAnsi="Calibri"/>
          <w:b/>
          <w:bCs/>
          <w:color w:val="000000"/>
          <w:sz w:val="36"/>
          <w:szCs w:val="36"/>
        </w:rPr>
        <w:t xml:space="preserve">30. </w:t>
      </w:r>
      <w:r>
        <w:rPr>
          <w:rFonts w:ascii="Calibri" w:cs="Calibri" w:eastAsia="Calibri" w:hAnsi="Calibri"/>
          <w:b/>
          <w:bCs/>
          <w:color w:val="000000"/>
          <w:sz w:val="36"/>
          <w:szCs w:val="36"/>
        </w:rPr>
        <w:t xml:space="preserve">Modifications</w:t>
      </w:r>
    </w:p>
    <w:tbl>
      <w:tblPr>
        <w:tblW w:type="pct" w:w="5000%"/>
        <w:tblBorders>
          <w:top w:val="single" w:color="D3DBDD" w:sz="4"/>
          <w:left w:val="single" w:color="D3DBDD" w:sz="4"/>
          <w:bottom w:val="single" w:color="D3DBDD" w:sz="4"/>
          <w:right w:val="single" w:color="D3DBDD" w:sz="4"/>
          <w:insideH w:val="single" w:color="D3DBDD" w:sz="4"/>
          <w:insideV w:val="single" w:color="D3DBDD" w:sz="4"/>
        </w:tblBorders>
        <w:tblLayout w:type="fixed"/>
      </w:tblPr>
      <w:tblGrid>
        <w:gridCol w:w="2907"/>
        <w:gridCol w:w="1890"/>
        <w:gridCol w:w="1890"/>
        <w:gridCol w:w="1890"/>
        <w:gridCol w:w="1889"/>
      </w:tblGrid>
      <w:tr>
        <w:trPr>
          <w:cantSplit/>
          <w:tblHeader/>
        </w:trPr>
        <w:tc>
          <w:tcPr>
            <w:tcBorders>
              <w:bottom w:val="single" w:color="2F3437" w:sz="4"/>
            </w:tcBorders>
            <w:shd w:fill="2F3437" w:color="2F3437" w:val="clear"/>
            <w:tcMar>
              <w:top w:type="dxa" w:w="144"/>
              <w:left w:type="dxa" w:w="144"/>
              <w:bottom w:type="dxa" w:w="104"/>
              <w:right w:type="dxa" w:w="144"/>
            </w:tcMar>
            <w:vAlign w:val="center"/>
          </w:tcPr>
          <w:p>
            <w:pPr>
              <w:keepNext/>
              <w:jc w:val="left"/>
            </w:pPr>
            <w:r>
              <w:rPr>
                <w:rFonts w:ascii="Calibri" w:cs="Calibri" w:eastAsia="Calibri" w:hAnsi="Calibri"/>
                <w:b/>
                <w:bCs/>
                <w:color w:val="FFFFFF"/>
                <w:spacing w:val="20"/>
                <w:sz w:val="16"/>
                <w:szCs w:val="16"/>
              </w:rPr>
              <w:t xml:space="preserve">ITEM</w:t>
            </w:r>
          </w:p>
        </w:tc>
        <w:tc>
          <w:tcPr>
            <w:tcBorders>
              <w:bottom w:val="single" w:color="2F3437" w:sz="4"/>
            </w:tcBorders>
            <w:shd w:fill="2F3437" w:color="2F3437" w:val="clear"/>
            <w:tcMar>
              <w:top w:type="dxa" w:w="144"/>
              <w:left w:type="dxa" w:w="144"/>
              <w:bottom w:type="dxa" w:w="104"/>
              <w:right w:type="dxa" w:w="144"/>
            </w:tcMar>
            <w:vAlign w:val="center"/>
          </w:tcPr>
          <w:p>
            <w:pPr>
              <w:keepNext/>
              <w:jc w:val="left"/>
            </w:pPr>
            <w:r>
              <w:rPr>
                <w:rFonts w:ascii="Calibri" w:cs="Calibri" w:eastAsia="Calibri" w:hAnsi="Calibri"/>
                <w:b/>
                <w:bCs/>
                <w:color w:val="FFFFFF"/>
                <w:spacing w:val="20"/>
                <w:sz w:val="16"/>
                <w:szCs w:val="16"/>
              </w:rPr>
              <w:t xml:space="preserve">DISCOVERY INSURE PURPLE PLAN QTE-0000001 (CURRENT POLICY)</w:t>
            </w:r>
          </w:p>
        </w:tc>
        <w:tc>
          <w:tcPr>
            <w:tcBorders>
              <w:bottom w:val="single" w:color="2F3437" w:sz="4"/>
            </w:tcBorders>
            <w:shd w:fill="2F3437" w:color="2F3437" w:val="clear"/>
            <w:tcMar>
              <w:top w:type="dxa" w:w="144"/>
              <w:left w:type="dxa" w:w="144"/>
              <w:bottom w:type="dxa" w:w="104"/>
              <w:right w:type="dxa" w:w="144"/>
            </w:tcMar>
            <w:vAlign w:val="center"/>
          </w:tcPr>
          <w:p>
            <w:pPr>
              <w:keepNext/>
              <w:jc w:val="left"/>
            </w:pPr>
            <w:r>
              <w:rPr>
                <w:rFonts w:ascii="Calibri" w:cs="Calibri" w:eastAsia="Calibri" w:hAnsi="Calibri"/>
                <w:b/>
                <w:bCs/>
                <w:color w:val="FFFFFF"/>
                <w:spacing w:val="20"/>
                <w:sz w:val="16"/>
                <w:szCs w:val="16"/>
              </w:rPr>
              <w:t xml:space="preserve">BRYTE PERSONAL POLICY QTE-0000002</w:t>
            </w:r>
          </w:p>
        </w:tc>
        <w:tc>
          <w:tcPr>
            <w:tcBorders>
              <w:bottom w:val="single" w:color="2F3437" w:sz="4"/>
            </w:tcBorders>
            <w:shd w:fill="2F3437" w:color="2F3437" w:val="clear"/>
            <w:tcMar>
              <w:top w:type="dxa" w:w="144"/>
              <w:left w:type="dxa" w:w="144"/>
              <w:bottom w:type="dxa" w:w="104"/>
              <w:right w:type="dxa" w:w="144"/>
            </w:tcMar>
            <w:vAlign w:val="center"/>
          </w:tcPr>
          <w:p>
            <w:pPr>
              <w:keepNext/>
              <w:jc w:val="left"/>
            </w:pPr>
            <w:r>
              <w:rPr>
                <w:rFonts w:ascii="Calibri" w:cs="Calibri" w:eastAsia="Calibri" w:hAnsi="Calibri"/>
                <w:b/>
                <w:bCs/>
                <w:color w:val="FFFFFF"/>
                <w:spacing w:val="20"/>
                <w:sz w:val="16"/>
                <w:szCs w:val="16"/>
              </w:rPr>
              <w:t xml:space="preserve">MUA EXECUTIVE POLICY QTE-0000003</w:t>
            </w:r>
          </w:p>
        </w:tc>
        <w:tc>
          <w:tcPr>
            <w:tcBorders>
              <w:bottom w:val="single" w:color="2F3437" w:sz="4"/>
            </w:tcBorders>
            <w:shd w:fill="2F3437" w:color="2F3437" w:val="clear"/>
            <w:tcMar>
              <w:top w:type="dxa" w:w="144"/>
              <w:left w:type="dxa" w:w="144"/>
              <w:bottom w:type="dxa" w:w="104"/>
              <w:right w:type="dxa" w:w="144"/>
            </w:tcMar>
            <w:vAlign w:val="center"/>
          </w:tcPr>
          <w:p>
            <w:pPr>
              <w:keepNext/>
              <w:jc w:val="left"/>
            </w:pPr>
            <w:r>
              <w:rPr>
                <w:rFonts w:ascii="Calibri" w:cs="Calibri" w:eastAsia="Calibri" w:hAnsi="Calibri"/>
                <w:b/>
                <w:bCs/>
                <w:color w:val="FFFFFF"/>
                <w:spacing w:val="20"/>
                <w:sz w:val="16"/>
                <w:szCs w:val="16"/>
              </w:rPr>
              <w:t xml:space="preserve">APEX PINNACLE PERSONAL QTE-0000004</w:t>
            </w:r>
          </w:p>
        </w:tc>
      </w:tr>
      <w:tr>
        <w:trPr>
          <w:cantSplit/>
        </w:trPr>
        <w:tc>
          <w:tcPr>
            <w:tcMar>
              <w:top w:type="dxa" w:w="144"/>
              <w:left w:type="dxa" w:w="144"/>
              <w:bottom w:type="dxa" w:w="104"/>
              <w:right w:type="dxa" w:w="144"/>
            </w:tcMar>
          </w:tcPr>
          <w:p>
            <w:pPr>
              <w:spacing w:before="0" w:after="40"/>
              <w:jc w:val="left"/>
            </w:pPr>
            <w:r>
              <w:rPr>
                <w:rFonts w:ascii="Calibri" w:cs="Calibri" w:eastAsia="Calibri" w:hAnsi="Calibri"/>
                <w:b/>
                <w:bCs/>
                <w:i w:val="false"/>
                <w:iCs w:val="false"/>
                <w:color w:val="000000"/>
                <w:sz w:val="20"/>
                <w:szCs w:val="20"/>
              </w:rPr>
              <w:t xml:space="preserve">Sum Insured</w:t>
            </w:r>
          </w:p>
        </w:tc>
        <w:tc>
          <w:tcPr>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Specified extras and accessories (Corolla): smash and grab R3,000.00</w:t>
            </w:r>
          </w:p>
        </w:tc>
        <w:tc>
          <w:tcPr>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 (vehicle accessories are an optional sum insured and none is listed)</w:t>
            </w:r>
          </w:p>
        </w:tc>
        <w:tc>
          <w:tcPr>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Accessories R3,000.00 (Corolla smash and grab)</w:t>
            </w:r>
          </w:p>
        </w:tc>
        <w:tc>
          <w:tcPr>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Smash and Grab R3,000 (Corolla)</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bCs/>
                <w:i w:val="false"/>
                <w:iCs w:val="false"/>
                <w:color w:val="000000"/>
                <w:sz w:val="20"/>
                <w:szCs w:val="20"/>
              </w:rPr>
              <w:t xml:space="preserve">Premium</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Included in vehicle premium</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Smash and grab: not separately stated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R4.92</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bCs/>
                <w:i w:val="false"/>
                <w:iCs w:val="false"/>
                <w:color w:val="000000"/>
                <w:sz w:val="20"/>
                <w:szCs w:val="20"/>
              </w:rPr>
              <w:t xml:space="preserve">Security Details</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Modifications: None on both vehicles; trailer modifications: No.</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Trailer: Imported or Modified: No. Vehicle modifications are not stated.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Imported / carnet de passage: No. Left-hand drive: No.</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 modifications stated. Essential alterations extension R75,000 under the motor section.</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bCs/>
                <w:i w:val="false"/>
                <w:iCs w:val="false"/>
                <w:color w:val="000000"/>
                <w:sz w:val="20"/>
                <w:szCs w:val="20"/>
              </w:rPr>
              <w:t xml:space="preserve">Vehicle modifications declared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Modifications: None (VW Polo and Corolla). Trailer: No.</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 for the vehicles. Trailer: Imported or Modified: No.</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 Imported: No; left-hand drive: No.</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 No modifications are declared.</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bCs/>
                <w:i w:val="false"/>
                <w:iCs w:val="false"/>
                <w:color w:val="000000"/>
                <w:sz w:val="20"/>
                <w:szCs w:val="20"/>
              </w:rPr>
              <w:t xml:space="preserve">Accessories / extras cover</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Corolla: specified extras and accessories (smash and grab) R3,000.00. VW Polo: none.</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Vehicle accessories: optional sum insured, none listed on this quote</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Corolla: smash and grab R3,000.00 (accessories sum insured). VW Polo: none.</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Corolla: Smash and Grab R3,000, premium R4.92. VW Polo: none.</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  - Policy Terms</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Effective 02/03/2026 on the Corolla</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Optional extension</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Total Corolla sum insured R552,200.00</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Listed under motor 'Accessories'</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bCs/>
                <w:i w:val="false"/>
                <w:iCs w:val="false"/>
                <w:color w:val="000000"/>
                <w:sz w:val="20"/>
                <w:szCs w:val="20"/>
              </w:rPr>
              <w:t xml:space="preserve">Alterations and alteration-related extensions</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Building and contents alterations: theft cover is subject to visible signs of violent and forcible entry while renovations are in progress</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Building alterations, additions and improvements benefit: 20% of sum insured. Special alterations after disability R50,000.</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Motor essential alterations R75,000</w:t>
            </w:r>
          </w:p>
        </w:tc>
      </w:tr>
      <w:tr>
        <w:trPr>
          <w:cantSplit/>
        </w:trPr>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  - Policy Terms</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Building alterations condition applies to buildings and contents</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Buildings policy section benefit</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Not specified</w:t>
            </w:r>
          </w:p>
        </w:tc>
        <w:tc>
          <w:tcPr>
            <w:tcBorders>
              <w:top w:val="single" w:color="D3DBDD" w:sz="4"/>
            </w:tcBorders>
            <w:tcMar>
              <w:top w:type="dxa" w:w="144"/>
              <w:left w:type="dxa" w:w="144"/>
              <w:bottom w:type="dxa" w:w="104"/>
              <w:right w:type="dxa" w:w="144"/>
            </w:tcMar>
          </w:tcPr>
          <w:p>
            <w:pPr>
              <w:spacing w:before="0" w:after="40"/>
              <w:jc w:val="left"/>
            </w:pPr>
            <w:r>
              <w:rPr>
                <w:rFonts w:ascii="Calibri" w:cs="Calibri" w:eastAsia="Calibri" w:hAnsi="Calibri"/>
                <w:b w:val="false"/>
                <w:bCs w:val="false"/>
                <w:i w:val="false"/>
                <w:iCs w:val="false"/>
                <w:color w:val="000000"/>
                <w:sz w:val="20"/>
                <w:szCs w:val="20"/>
              </w:rPr>
              <w:t xml:space="preserve">Motor extension</w:t>
            </w:r>
          </w:p>
        </w:tc>
      </w:tr>
    </w:tbl>
    <w:p>
      <w:pPr>
        <w:pageBreakBefore/>
      </w:pPr>
      <w:r>
        <w:t xml:space="preserve"/>
      </w:r>
    </w:p>
    <w:p>
      <w:pPr>
        <w:pStyle w:val="Heading1"/>
        <w:keepNext/>
        <w:keepLines/>
        <w:pBdr>
          <w:bottom w:val="single" w:color="D3DBDD" w:sz="4" w:space="4"/>
        </w:pBdr>
        <w:spacing w:before="360" w:after="160"/>
      </w:pPr>
      <w:r>
        <w:rPr>
          <w:rFonts w:ascii="Calibri" w:cs="Calibri" w:eastAsia="Calibri" w:hAnsi="Calibri"/>
          <w:b/>
          <w:bCs/>
          <w:color w:val="000000"/>
          <w:sz w:val="36"/>
          <w:szCs w:val="36"/>
        </w:rPr>
        <w:t xml:space="preserve">31. </w:t>
      </w:r>
      <w:r>
        <w:rPr>
          <w:rFonts w:ascii="Calibri" w:cs="Calibri" w:eastAsia="Calibri" w:hAnsi="Calibri"/>
          <w:b/>
          <w:bCs/>
          <w:color w:val="000000"/>
          <w:sz w:val="36"/>
          <w:szCs w:val="36"/>
        </w:rPr>
        <w:t xml:space="preserve">Recommendation</w:t>
      </w:r>
    </w:p>
    <w:p>
      <w:pPr>
        <w:spacing w:before="80" w:after="80"/>
      </w:pPr>
      <w:r>
        <w:rPr>
          <w:rFonts w:ascii="Calibri" w:cs="Calibri" w:eastAsia="Calibri" w:hAnsi="Calibri"/>
          <w:color w:val="000000"/>
          <w:sz w:val="20"/>
          <w:szCs w:val="20"/>
        </w:rPr>
        <w:t xml:space="preserve">On the documents supplied, none of the three quotes is a like-for-like replacement for the current Discovery plan. Discovery documents the most included cover: accidental damage and power surge within the sum insured on buildings and contents, limited subsidence, R50,000,000 liability and included car hire. Its weaknesses are the highest premium and the highest excesses. MUA (Executive) is the most credible alternative, with lower motor excesses and R30,000,000 liability. It should only be considered once subsidence, mandatory tracking, armed-response alarm, Worldwide Cover under the MUA Executive policy and the data errors are resolved. Bryte is the cheapest but has an unmet armed-response condition, a R6,000 unspecified item limit and much lower liability. Apex is priced close to Discovery yet declines key extensions and carries inconsistent liability figures.</w:t>
      </w:r>
    </w:p>
    <w:p>
      <w:pPr>
        <w:spacing w:before="120" w:after="120"/>
      </w:pPr>
      <w:r>
        <w:t xml:space="preserve"/>
      </w:r>
    </w:p>
    <w:p>
      <w:pPr>
        <w:keepNext/>
        <w:spacing w:before="80" w:after="80"/>
      </w:pPr>
      <w:r>
        <w:rPr>
          <w:rFonts w:ascii="Calibri" w:cs="Calibri" w:eastAsia="Calibri" w:hAnsi="Calibri"/>
          <w:b/>
          <w:bCs/>
          <w:color w:val="000000"/>
          <w:sz w:val="20"/>
          <w:szCs w:val="20"/>
        </w:rPr>
        <w:t xml:space="preserve">Rationale:</w:t>
      </w:r>
    </w:p>
    <w:p>
      <w:pPr>
        <w:pStyle w:val="ListParagraph"/>
        <w:numPr>
          <w:ilvl w:val="0"/>
          <w:numId w:val="1"/>
        </w:numPr>
        <w:spacing w:before="40" w:after="40"/>
      </w:pPr>
      <w:r>
        <w:rPr>
          <w:rFonts w:ascii="Calibri" w:cs="Calibri" w:eastAsia="Calibri" w:hAnsi="Calibri"/>
          <w:color w:val="000000"/>
          <w:sz w:val="20"/>
          <w:szCs w:val="20"/>
        </w:rPr>
        <w:t xml:space="preserve">Discovery includes accidental damage, power surge and limited subsidence at R0.00 additional premium; Apex declines them and MUA does not state them.</w:t>
      </w:r>
    </w:p>
    <w:p>
      <w:pPr>
        <w:pStyle w:val="ListParagraph"/>
        <w:numPr>
          <w:ilvl w:val="0"/>
          <w:numId w:val="1"/>
        </w:numPr>
        <w:spacing w:before="40" w:after="40"/>
      </w:pPr>
      <w:r>
        <w:rPr>
          <w:rFonts w:ascii="Calibri" w:cs="Calibri" w:eastAsia="Calibri" w:hAnsi="Calibri"/>
          <w:color w:val="000000"/>
          <w:sz w:val="20"/>
          <w:szCs w:val="20"/>
        </w:rPr>
        <w:t xml:space="preserve">Bryte records no armed-response alarm although its own wording requires one at the R2,947,241 contents sum insured, which risks an additional excess of 10% of the claim, minimum R10,000.</w:t>
      </w:r>
    </w:p>
    <w:p>
      <w:pPr>
        <w:pStyle w:val="ListParagraph"/>
        <w:numPr>
          <w:ilvl w:val="0"/>
          <w:numId w:val="1"/>
        </w:numPr>
        <w:spacing w:before="40" w:after="40"/>
      </w:pPr>
      <w:r>
        <w:rPr>
          <w:rFonts w:ascii="Calibri" w:cs="Calibri" w:eastAsia="Calibri" w:hAnsi="Calibri"/>
          <w:color w:val="000000"/>
          <w:sz w:val="20"/>
          <w:szCs w:val="20"/>
        </w:rPr>
        <w:t xml:space="preserve">MUA's Executive-tier Worldwide Cover is not quantified in the quote, so its advantage over Discovery's portable cover cannot yet be verified.</w:t>
      </w:r>
    </w:p>
    <w:p>
      <w:pPr>
        <w:pStyle w:val="ListParagraph"/>
        <w:numPr>
          <w:ilvl w:val="0"/>
          <w:numId w:val="1"/>
        </w:numPr>
        <w:spacing w:before="40" w:after="40"/>
      </w:pPr>
      <w:r>
        <w:rPr>
          <w:rFonts w:ascii="Calibri" w:cs="Calibri" w:eastAsia="Calibri" w:hAnsi="Calibri"/>
          <w:color w:val="000000"/>
          <w:sz w:val="20"/>
          <w:szCs w:val="20"/>
        </w:rPr>
        <w:t xml:space="preserve">Liability limits range from R50,000,000 (Discovery) and R30,000,000 (MUA) down to R12,500,000 combined (Bryte); Apex is internally inconsistent.</w:t>
      </w:r>
    </w:p>
    <w:p>
      <w:pPr>
        <w:pStyle w:val="ListParagraph"/>
        <w:numPr>
          <w:ilvl w:val="0"/>
          <w:numId w:val="1"/>
        </w:numPr>
        <w:spacing w:before="40" w:after="40"/>
      </w:pPr>
      <w:r>
        <w:rPr>
          <w:rFonts w:ascii="Calibri" w:cs="Calibri" w:eastAsia="Calibri" w:hAnsi="Calibri"/>
          <w:color w:val="000000"/>
          <w:sz w:val="20"/>
          <w:szCs w:val="20"/>
        </w:rPr>
        <w:t xml:space="preserve">Quote data errors (MUA driver details, Apex business class of use) could prejudice claims if not corrected.</w:t>
      </w:r>
    </w:p>
    <w:p>
      <w:pPr>
        <w:spacing w:before="120" w:after="120"/>
      </w:pPr>
      <w:r>
        <w:t xml:space="preserve"/>
      </w:r>
    </w:p>
    <w:p>
      <w:pPr>
        <w:keepNext/>
        <w:spacing w:before="80" w:after="80"/>
      </w:pPr>
      <w:r>
        <w:rPr>
          <w:rFonts w:ascii="Calibri" w:cs="Calibri" w:eastAsia="Calibri" w:hAnsi="Calibri"/>
          <w:b/>
          <w:bCs/>
          <w:color w:val="000000"/>
          <w:sz w:val="20"/>
          <w:szCs w:val="20"/>
        </w:rPr>
        <w:t xml:space="preserve">Recommended Next Steps:</w:t>
      </w:r>
    </w:p>
    <w:p>
      <w:pPr>
        <w:pStyle w:val="ListParagraph"/>
        <w:numPr>
          <w:ilvl w:val="0"/>
          <w:numId w:val="1"/>
        </w:numPr>
        <w:spacing w:before="40" w:after="40"/>
      </w:pPr>
      <w:r>
        <w:rPr>
          <w:rFonts w:ascii="Calibri" w:cs="Calibri" w:eastAsia="Calibri" w:hAnsi="Calibri"/>
          <w:color w:val="000000"/>
          <w:sz w:val="20"/>
          <w:szCs w:val="20"/>
        </w:rPr>
        <w:t xml:space="preserve">Confirm with Discovery whether the alarm is linked to an armed-response contract, and clarify the wear-and-tear for pipes line shown as included at R0.00 yet Not selected.</w:t>
      </w:r>
    </w:p>
    <w:p>
      <w:pPr>
        <w:pStyle w:val="ListParagraph"/>
        <w:numPr>
          <w:ilvl w:val="0"/>
          <w:numId w:val="1"/>
        </w:numPr>
        <w:spacing w:before="40" w:after="40"/>
      </w:pPr>
      <w:r>
        <w:rPr>
          <w:rFonts w:ascii="Calibri" w:cs="Calibri" w:eastAsia="Calibri" w:hAnsi="Calibri"/>
          <w:color w:val="000000"/>
          <w:sz w:val="20"/>
          <w:szCs w:val="20"/>
        </w:rPr>
        <w:t xml:space="preserve">Ask MUA for its excess and limits page, the Worldwide Cover limit per claim, excess and safe conditions, subsidence and landslip cover, and correction of main driver details (Mr Sample date of birth 01/01/1970, male; Mrs Sample for the Corolla).</w:t>
      </w:r>
    </w:p>
    <w:p>
      <w:pPr>
        <w:pStyle w:val="ListParagraph"/>
        <w:numPr>
          <w:ilvl w:val="0"/>
          <w:numId w:val="1"/>
        </w:numPr>
        <w:spacing w:before="40" w:after="40"/>
      </w:pPr>
      <w:r>
        <w:rPr>
          <w:rFonts w:ascii="Calibri" w:cs="Calibri" w:eastAsia="Calibri" w:hAnsi="Calibri"/>
          <w:color w:val="000000"/>
          <w:sz w:val="20"/>
          <w:szCs w:val="20"/>
        </w:rPr>
        <w:t xml:space="preserve">MUA states R75,762.17 annually against R6,830.46 monthly, so the annual figure includes an annual-payment discount; the other documents state monthly premiums only, so annual comparison is not like-for-like.</w:t>
      </w:r>
    </w:p>
    <w:p>
      <w:pPr>
        <w:pStyle w:val="ListParagraph"/>
        <w:numPr>
          <w:ilvl w:val="0"/>
          <w:numId w:val="1"/>
        </w:numPr>
        <w:spacing w:before="40" w:after="40"/>
      </w:pPr>
      <w:r>
        <w:rPr>
          <w:rFonts w:ascii="Calibri" w:cs="Calibri" w:eastAsia="Calibri" w:hAnsi="Calibri"/>
          <w:color w:val="000000"/>
          <w:sz w:val="20"/>
          <w:szCs w:val="20"/>
        </w:rPr>
        <w:t xml:space="preserve">Resolve the armed-response requirement with Bryte and Apex, and obtain Apex's correct liability limit and class of use.</w:t>
      </w:r>
    </w:p>
    <w:p>
      <w:pPr>
        <w:pStyle w:val="ListParagraph"/>
        <w:numPr>
          <w:ilvl w:val="0"/>
          <w:numId w:val="1"/>
        </w:numPr>
        <w:spacing w:before="40" w:after="40"/>
      </w:pPr>
      <w:r>
        <w:rPr>
          <w:rFonts w:ascii="Calibri" w:cs="Calibri" w:eastAsia="Calibri" w:hAnsi="Calibri"/>
          <w:color w:val="000000"/>
          <w:sz w:val="20"/>
          <w:szCs w:val="20"/>
        </w:rPr>
        <w:t xml:space="preserve">Confirm tracking requirements for the Corolla Cross (MUA mandatory; Apex vehicles over R500,000) and consider credit shortfall for the financed vehicle.</w:t>
      </w:r>
    </w:p>
    <w:p>
      <w:pPr>
        <w:pStyle w:val="ListParagraph"/>
        <w:numPr>
          <w:ilvl w:val="0"/>
          <w:numId w:val="1"/>
        </w:numPr>
        <w:spacing w:before="40" w:after="40"/>
      </w:pPr>
      <w:r>
        <w:rPr>
          <w:rFonts w:ascii="Calibri" w:cs="Calibri" w:eastAsia="Calibri" w:hAnsi="Calibri"/>
          <w:color w:val="000000"/>
          <w:sz w:val="20"/>
          <w:szCs w:val="20"/>
        </w:rPr>
        <w:t xml:space="preserve">Supply a five-year claims and loss history if proceeding with MUA, and obtain jewellery valuation certificates and safe confirmation.</w:t>
      </w:r>
    </w:p>
    <w:sectPr>
      <w:footerReference w:type="default" r:id="rId6"/>
      <w:footerReference w:type="first" r:id="rId7"/>
      <w:pgSz w:w="11906" w:h="16838" w:orient="portrait"/>
      <w:pgMar w:top="720" w:right="720" w:bottom="1000" w:left="720" w:header="708" w:footer="40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ReportFooter"/>
      <w:pBdr>
        <w:top w:val="single" w:color="D3DBDD" w:sz="4" w:space="6"/>
      </w:pBdr>
      <w:tabs>
        <w:tab w:val="right" w:pos="10466"/>
      </w:tabs>
      <w:spacing w:before="0" w:after="0"/>
    </w:pPr>
    <w:r>
      <w:rPr>
        <w:rFonts w:ascii="Calibri" w:cs="Calibri" w:eastAsia="Calibri" w:hAnsi="Calibri"/>
        <w:color w:val="000000"/>
        <w:sz w:val="16"/>
        <w:szCs w:val="16"/>
      </w:rPr>
      <w:t xml:space="preserve">Policy Quote Comparison</w:t>
    </w:r>
    <w:r>
      <w:rPr>
        <w:rFonts w:ascii="Calibri" w:cs="Calibri" w:eastAsia="Calibri" w:hAnsi="Calibri"/>
        <w:color w:val="000000"/>
        <w:sz w:val="16"/>
        <w:szCs w:val="16"/>
      </w:rPr>
      <w:t xml:space="preserve">	Page </w:t>
    </w:r>
    <w:fldSimple w:instr=" PAGE ">
      <w:r>
        <w:t xml:space="preserve">1</w:t>
      </w:r>
    </w:fldSimple>
    <w:r>
      <w:rPr>
        <w:rFonts w:ascii="Calibri" w:cs="Calibri" w:eastAsia="Calibri" w:hAnsi="Calibri"/>
        <w:color w:val="000000"/>
        <w:sz w:val="16"/>
        <w:szCs w:val="16"/>
      </w:rPr>
      <w:t xml:space="preserve"> of </w:t>
    </w:r>
    <w:fldSimple w:instr=" NUMPAGES ">
      <w:r>
        <w:t xml:space="preserve">1</w:t>
      </w:r>
    </w:fldSimple>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000000"/>
        <w:sz w:val="20"/>
        <w:szCs w:val="20"/>
      </w:rPr>
    </w:rPrDefault>
    <w:pPrDefault>
      <w:pPr>
        <w:spacing w:before="80" w:after="80"/>
      </w:pPr>
    </w:pPrDefault>
  </w:docDefaults>
  <w:style w:type="paragraph" w:styleId="Title">
    <w:name w:val="Title"/>
    <w:basedOn w:val="Normal"/>
    <w:next w:val="Normal"/>
    <w:qFormat/>
    <w:rPr>
      <w:rFonts w:ascii="Calibri" w:cs="Calibri" w:eastAsia="Calibri" w:hAnsi="Calibri"/>
      <w:color w:val="000000"/>
    </w:rPr>
  </w:style>
  <w:style w:type="paragraph" w:styleId="Heading1">
    <w:name w:val="Heading 1"/>
    <w:basedOn w:val="Normal"/>
    <w:next w:val="Normal"/>
    <w:qFormat/>
    <w:rPr>
      <w:rFonts w:ascii="Calibri" w:cs="Calibri" w:eastAsia="Calibri" w:hAnsi="Calibri"/>
      <w:color w:val="000000"/>
    </w:rPr>
  </w:style>
  <w:style w:type="paragraph" w:styleId="Heading2">
    <w:name w:val="Heading 2"/>
    <w:basedOn w:val="Normal"/>
    <w:next w:val="Normal"/>
    <w:qFormat/>
    <w:rPr>
      <w:rFonts w:ascii="Calibri" w:cs="Calibri" w:eastAsia="Calibri" w:hAnsi="Calibri"/>
      <w:color w:val="000000"/>
    </w:rPr>
  </w:style>
  <w:style w:type="paragraph" w:styleId="Heading3">
    <w:name w:val="Heading 3"/>
    <w:basedOn w:val="Normal"/>
    <w:next w:val="Normal"/>
    <w:qFormat/>
    <w:rPr>
      <w:rFonts w:ascii="Calibri" w:cs="Calibri" w:eastAsia="Calibri" w:hAnsi="Calibri"/>
      <w:color w:val="000000"/>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ReportFooter">
    <w:name w:val="Report Footer"/>
    <w:basedOn w:val="Normal"/>
    <w:pPr>
      <w:spacing w:before="0" w:after="0"/>
    </w:pPr>
    <w:rPr>
      <w:rFonts w:ascii="Calibri" w:cs="Calibri" w:eastAsia="Calibri" w:hAnsi="Calibri"/>
      <w:color w:val="000000"/>
      <w:sz w:val="16"/>
      <w:szCs w:val="16"/>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Broker AI</dc:creator>
  <cp:lastModifiedBy>Broker AI</cp:lastModifiedBy>
  <cp:revision>1</cp:revision>
  <dcterms:created xsi:type="dcterms:W3CDTF">2026-10-26T10:50:34.985Z</dcterms:created>
  <dcterms:modified xsi:type="dcterms:W3CDTF">2026-10-26T10:50:34.985Z</dcterms:modified>
  <dc:title>Example Quote Comparison</dc:title>
  <dc:subject>Policy quote comparison (anonymised example)</dc:subject>
  <dc:description/>
  <cp:keywords/>
</cp:coreProperties>
</file>

<file path=docProps/custom.xml><?xml version="1.0" encoding="utf-8"?>
<Properties xmlns="http://schemas.openxmlformats.org/officeDocument/2006/custom-properties" xmlns:vt="http://schemas.openxmlformats.org/officeDocument/2006/docPropsVTypes"/>
</file>