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jc w:val="center"/>
      </w:pPr>
      <w:r>
        <w:rPr>
          <w:rFonts w:ascii="Calibri" w:cs="Calibri" w:eastAsia="Calibri" w:hAnsi="Calibri"/>
          <w:b/>
          <w:bCs/>
          <w:color w:val="000000"/>
          <w:sz w:val="32"/>
          <w:szCs w:val="32"/>
        </w:rPr>
        <w:t xml:space="preserve">Short Term Personal Renewal</w:t>
      </w:r>
    </w:p>
    <w:p>
      <w:r>
        <w:t xml:space="preserve"/>
      </w:r>
    </w:p>
    <w:tbl>
      <w:tblPr>
        <w:tblW w:type="pct" w:w="100%"/>
        <w:tblBorders>
          <w:top w:val="none"/>
          <w:left w:val="none"/>
          <w:bottom w:val="none"/>
          <w:right w:val="none"/>
          <w:insideH w:val="none"/>
          <w:insideV w:val="none"/>
        </w:tblBorders>
        <w:tblLayout w:type="fixed"/>
      </w:tblPr>
      <w:tblGrid>
        <w:gridCol w:w="3000"/>
        <w:gridCol w:w="3000"/>
        <w:gridCol w:w="3000"/>
      </w:tblGrid>
      <w:tr>
        <w:tc>
          <w:p>
            <w:pPr>
              <w:keepNext/>
              <w:jc w:val="center"/>
            </w:pPr>
            <w:r>
              <w:rPr>
                <w:rFonts w:ascii="Calibri" w:cs="Calibri" w:eastAsia="Calibri" w:hAnsi="Calibri"/>
                <w:b/>
                <w:bCs/>
                <w:color w:val="000000"/>
                <w:sz w:val="24"/>
                <w:szCs w:val="24"/>
              </w:rPr>
              <w:t xml:space="preserve">Policy Owner</w:t>
            </w:r>
          </w:p>
          <w:p>
            <w:pPr>
              <w:jc w:val="center"/>
            </w:pPr>
            <w:r>
              <w:rPr>
                <w:rFonts w:ascii="Calibri" w:cs="Calibri" w:eastAsia="Calibri" w:hAnsi="Calibri"/>
                <w:b w:val="false"/>
                <w:bCs w:val="false"/>
                <w:color w:val="000000"/>
                <w:sz w:val="24"/>
                <w:szCs w:val="24"/>
              </w:rPr>
              <w:t xml:space="preserve">Mrs. M Sample</w:t>
            </w:r>
          </w:p>
        </w:tc>
        <w:tc>
          <w:p>
            <w:pPr>
              <w:keepNext/>
              <w:jc w:val="center"/>
            </w:pPr>
            <w:r>
              <w:rPr>
                <w:rFonts w:ascii="Calibri" w:cs="Calibri" w:eastAsia="Calibri" w:hAnsi="Calibri"/>
                <w:b/>
                <w:bCs/>
                <w:color w:val="000000"/>
                <w:sz w:val="24"/>
                <w:szCs w:val="24"/>
              </w:rPr>
              <w:t xml:space="preserve">Policy Number</w:t>
            </w:r>
          </w:p>
          <w:p>
            <w:pPr>
              <w:jc w:val="center"/>
            </w:pPr>
            <w:r>
              <w:rPr>
                <w:rFonts w:ascii="Calibri" w:cs="Calibri" w:eastAsia="Calibri" w:hAnsi="Calibri"/>
                <w:b w:val="false"/>
                <w:bCs w:val="false"/>
                <w:color w:val="000000"/>
                <w:sz w:val="24"/>
                <w:szCs w:val="24"/>
              </w:rPr>
              <w:t xml:space="preserve">POL-0001001</w:t>
            </w:r>
          </w:p>
        </w:tc>
        <w:tc>
          <w:p>
            <w:pPr>
              <w:keepNext/>
              <w:jc w:val="center"/>
            </w:pPr>
            <w:r>
              <w:rPr>
                <w:rFonts w:ascii="Calibri" w:cs="Calibri" w:eastAsia="Calibri" w:hAnsi="Calibri"/>
                <w:b/>
                <w:bCs/>
                <w:color w:val="000000"/>
                <w:sz w:val="24"/>
                <w:szCs w:val="24"/>
              </w:rPr>
              <w:t xml:space="preserve">Total Premium</w:t>
            </w:r>
          </w:p>
          <w:p>
            <w:pPr>
              <w:jc w:val="center"/>
            </w:pPr>
            <w:r>
              <w:rPr>
                <w:rFonts w:ascii="Calibri" w:cs="Calibri" w:eastAsia="Calibri" w:hAnsi="Calibri"/>
                <w:b w:val="false"/>
                <w:bCs w:val="false"/>
                <w:color w:val="000000"/>
                <w:sz w:val="24"/>
                <w:szCs w:val="24"/>
              </w:rPr>
              <w:t xml:space="preserve">R3,461.08</w:t>
            </w:r>
          </w:p>
        </w:tc>
      </w:tr>
    </w:tbl>
    <w:p>
      <w:pPr>
        <w:pBdr>
          <w:bottom w:val="single" w:color="000000" w:sz="12"/>
        </w:pBdr>
        <w:spacing w:before="120" w:after="120"/>
      </w:pPr>
      <w:r>
        <w:t xml:space="preserve"/>
      </w:r>
    </w:p>
    <w:p>
      <w:r>
        <w:t xml:space="preserve"/>
      </w:r>
    </w:p>
    <w:p>
      <w:pPr>
        <w:keepNext/>
      </w:pPr>
      <w:r>
        <w:rPr>
          <w:rFonts w:ascii="Calibri" w:cs="Calibri" w:eastAsia="Calibri" w:hAnsi="Calibri"/>
          <w:b/>
          <w:bCs/>
          <w:color w:val="000000"/>
          <w:sz w:val="28"/>
          <w:szCs w:val="28"/>
        </w:rPr>
        <w:t xml:space="preserve">Executive Summary</w:t>
      </w:r>
    </w:p>
    <w:p>
      <w:r>
        <w:rPr>
          <w:rFonts w:ascii="Calibri" w:cs="Calibri" w:eastAsia="Calibri" w:hAnsi="Calibri"/>
          <w:b w:val="false"/>
          <w:bCs w:val="false"/>
          <w:color w:val="000000"/>
          <w:sz w:val="20"/>
          <w:szCs w:val="20"/>
        </w:rPr>
        <w:t xml:space="preserve">Date Created: 26 October 2026</w:t>
      </w:r>
    </w:p>
    <w:p>
      <w:r>
        <w:rPr>
          <w:rFonts w:ascii="Calibri" w:cs="Calibri" w:eastAsia="Calibri" w:hAnsi="Calibri"/>
          <w:b w:val="false"/>
          <w:bCs w:val="false"/>
          <w:color w:val="000000"/>
          <w:sz w:val="20"/>
          <w:szCs w:val="20"/>
        </w:rPr>
        <w:t xml:space="preserve">Policy Number: POL-0001001</w:t>
      </w:r>
    </w:p>
    <w:p>
      <w:r>
        <w:rPr>
          <w:rFonts w:ascii="Calibri" w:cs="Calibri" w:eastAsia="Calibri" w:hAnsi="Calibri"/>
          <w:b w:val="false"/>
          <w:bCs w:val="false"/>
          <w:color w:val="000000"/>
          <w:sz w:val="20"/>
          <w:szCs w:val="20"/>
        </w:rPr>
        <w:t xml:space="preserve">Contact: (0555550147)</w:t>
      </w:r>
    </w:p>
    <w:p>
      <w:r>
        <w:t xml:space="preserve"/>
      </w:r>
    </w:p>
    <w:p>
      <w:r>
        <w:rPr>
          <w:rFonts w:ascii="Calibri" w:cs="Calibri" w:eastAsia="Calibri" w:hAnsi="Calibri"/>
          <w:b/>
          <w:bCs/>
          <w:color w:val="000000"/>
          <w:sz w:val="20"/>
          <w:szCs w:val="20"/>
        </w:rPr>
        <w:t xml:space="preserve">Policy Renewal Overview:</w:t>
      </w:r>
    </w:p>
    <w:p>
      <w:r>
        <w:rPr>
          <w:rFonts w:ascii="Calibri" w:cs="Calibri" w:eastAsia="Calibri" w:hAnsi="Calibri"/>
          <w:b w:val="false"/>
          <w:bCs w:val="false"/>
          <w:color w:val="000000"/>
          <w:sz w:val="20"/>
          <w:szCs w:val="20"/>
        </w:rPr>
        <w:t xml:space="preserve">• Renewal Period: 1 November 2026 – 1 November 2027</w:t>
      </w:r>
    </w:p>
    <w:p>
      <w:r>
        <w:rPr>
          <w:rFonts w:ascii="Calibri" w:cs="Calibri" w:eastAsia="Calibri" w:hAnsi="Calibri"/>
          <w:b/>
          <w:bCs/>
          <w:color w:val="000000"/>
          <w:sz w:val="20"/>
          <w:szCs w:val="20"/>
        </w:rPr>
        <w:t xml:space="preserve">• New Premium: R3,461.08</w:t>
      </w:r>
    </w:p>
    <w:p>
      <w:r>
        <w:t xml:space="preserve"/>
      </w:r>
    </w:p>
    <w:p>
      <w:r>
        <w:rPr>
          <w:rFonts w:ascii="Calibri" w:cs="Calibri" w:eastAsia="Calibri" w:hAnsi="Calibri"/>
          <w:b/>
          <w:bCs/>
          <w:color w:val="000000"/>
          <w:sz w:val="20"/>
          <w:szCs w:val="20"/>
        </w:rPr>
        <w:t xml:space="preserve">Top Renewal Risks / Concerns Identified:</w:t>
      </w:r>
    </w:p>
    <w:p>
      <w:r>
        <w:rPr>
          <w:rFonts w:ascii="Calibri" w:cs="Calibri" w:eastAsia="Calibri" w:hAnsi="Calibri"/>
          <w:b w:val="false"/>
          <w:bCs w:val="false"/>
          <w:color w:val="000000"/>
          <w:sz w:val="20"/>
          <w:szCs w:val="20"/>
        </w:rPr>
        <w:t xml:space="preserve">• The monthly policy premium has increased by approximately 7.6% (from R3,217.10 to R3,461.08 inclusive of intermediary fees), which should be reviewed against current market alternatives to ensure the premium remains competitive and continues to represent fair value.</w:t>
      </w:r>
    </w:p>
    <w:p>
      <w:r>
        <w:rPr>
          <w:rFonts w:ascii="Calibri" w:cs="Calibri" w:eastAsia="Calibri" w:hAnsi="Calibri"/>
          <w:b w:val="false"/>
          <w:bCs w:val="false"/>
          <w:color w:val="000000"/>
          <w:sz w:val="20"/>
          <w:szCs w:val="20"/>
        </w:rPr>
        <w:t xml:space="preserve">• The average clause applies to both the buildings cover (R6,950,987) and the contents cover (R1,179,371). Should either sum insured fall short of the true replacement cost at the time of a claim, compensation will be reduced proportionally. Both insured amounts should be verified against current replacement-cost benchmarks to mitigate underinsurance exposure.</w:t>
      </w:r>
    </w:p>
    <w:p>
      <w:r>
        <w:rPr>
          <w:rFonts w:ascii="Calibri" w:cs="Calibri" w:eastAsia="Calibri" w:hAnsi="Calibri"/>
          <w:b w:val="false"/>
          <w:bCs w:val="false"/>
          <w:color w:val="000000"/>
          <w:sz w:val="20"/>
          <w:szCs w:val="20"/>
        </w:rPr>
        <w:t xml:space="preserve">• A new Sanctions exclusion has been introduced to the general policy wording at this renewal, providing that no cover, claim payment, or benefit will be provided where doing so would expose the insurer or its reinsurers to any applicable sanction or restriction under United Nations, EU, UK, US, or South African sanctions law. This material wording change should be noted and acknowledged.</w:t>
      </w:r>
    </w:p>
    <w:p>
      <w:r>
        <w:rPr>
          <w:rFonts w:ascii="Calibri" w:cs="Calibri" w:eastAsia="Calibri" w:hAnsi="Calibri"/>
          <w:b w:val="false"/>
          <w:bCs w:val="false"/>
          <w:color w:val="000000"/>
          <w:sz w:val="20"/>
          <w:szCs w:val="20"/>
        </w:rPr>
        <w:t xml:space="preserve">• All-risks cover for specified items — including the Apple iPhone 17 Pro Max (insured at R32,541) and clothing and personal effects (R30,000) — is not automatically adjusted for inflation. The replacement values of these items should be reviewed annually and updated where necessary to avoid a shortfall at claim stage.</w:t>
      </w:r>
    </w:p>
    <w:p>
      <w:r>
        <w:rPr>
          <w:rFonts w:ascii="Calibri" w:cs="Calibri" w:eastAsia="Calibri" w:hAnsi="Calibri"/>
          <w:b w:val="false"/>
          <w:bCs w:val="false"/>
          <w:color w:val="000000"/>
          <w:sz w:val="20"/>
          <w:szCs w:val="20"/>
        </w:rPr>
        <w:t xml:space="preserve">• A valuation certificate is required for any valuable article (defined as furs, jewellery, gemstones, watches, and precious-metal articles) with an individual value of R25,000 or more. Failure to provide a pre-loss valuation certificate will result in compensation for that article being limited to R25,000. Compliance with this condition should be confirmed.</w:t>
      </w:r>
    </w:p>
    <w:p>
      <w:r>
        <w:t xml:space="preserve"/>
      </w:r>
    </w:p>
    <w:p>
      <w:pPr>
        <w:spacing w:before="120"/>
      </w:pPr>
      <w:r>
        <w:rPr>
          <w:rFonts w:ascii="Calibri" w:cs="Calibri" w:eastAsia="Calibri" w:hAnsi="Calibri"/>
          <w:b/>
          <w:bCs/>
          <w:color w:val="000000"/>
          <w:sz w:val="20"/>
          <w:szCs w:val="20"/>
        </w:rPr>
        <w:t xml:space="preserve">Important Notice</w:t>
      </w:r>
    </w:p>
    <w:p>
      <w:r>
        <w:rPr>
          <w:rFonts w:ascii="Calibri" w:cs="Calibri" w:eastAsia="Calibri" w:hAnsi="Calibri"/>
          <w:b w:val="false"/>
          <w:bCs w:val="false"/>
          <w:color w:val="000000"/>
          <w:sz w:val="20"/>
          <w:szCs w:val="20"/>
        </w:rPr>
        <w:t xml:space="preserve">This Renewal Record of Advice must be read in conjunction with the renewal schedule and the full policy wording. The purpose of this document is to confirm that the policy remains suitable at renewal and to highlight any material changes, risks, or recommendations identified. Please familiarise yourself with all applicable limits, excesses, exclusions, conditions, and clauses contained therein.</w:t>
      </w:r>
    </w:p>
    <w:p>
      <w:r>
        <w:t xml:space="preserve"/>
      </w:r>
    </w:p>
    <w:p>
      <w:r>
        <w:rPr>
          <w:rFonts w:ascii="Calibri" w:cs="Calibri" w:eastAsia="Calibri" w:hAnsi="Calibri"/>
          <w:b w:val="false"/>
          <w:bCs w:val="false"/>
          <w:color w:val="000000"/>
          <w:sz w:val="20"/>
          <w:szCs w:val="20"/>
        </w:rPr>
        <w:t xml:space="preserve">Should you require any further assistance or wish to discuss your policy in more detail, please contact your intermediary, </w:t>
      </w:r>
      <w:r>
        <w:rPr>
          <w:rFonts w:ascii="Calibri" w:cs="Calibri" w:eastAsia="Calibri" w:hAnsi="Calibri"/>
          <w:b/>
          <w:bCs/>
          <w:color w:val="000000"/>
          <w:sz w:val="20"/>
          <w:szCs w:val="20"/>
        </w:rPr>
        <w:t xml:space="preserve">Example Brokers (Pty) Ltd</w:t>
      </w:r>
      <w:r>
        <w:rPr>
          <w:rFonts w:ascii="Calibri" w:cs="Calibri" w:eastAsia="Calibri" w:hAnsi="Calibri"/>
          <w:b w:val="false"/>
          <w:bCs w:val="false"/>
          <w:color w:val="000000"/>
          <w:sz w:val="20"/>
          <w:szCs w:val="20"/>
        </w:rPr>
        <w:t xml:space="preserve">, or </w:t>
      </w:r>
      <w:r>
        <w:rPr>
          <w:rFonts w:ascii="Calibri" w:cs="Calibri" w:eastAsia="Calibri" w:hAnsi="Calibri"/>
          <w:b/>
          <w:bCs/>
          <w:color w:val="000000"/>
          <w:sz w:val="20"/>
          <w:szCs w:val="20"/>
        </w:rPr>
        <w:t xml:space="preserve">Insurer A</w:t>
      </w:r>
      <w:r>
        <w:rPr>
          <w:rFonts w:ascii="Calibri" w:cs="Calibri" w:eastAsia="Calibri" w:hAnsi="Calibri"/>
          <w:b w:val="false"/>
          <w:bCs w:val="false"/>
          <w:color w:val="000000"/>
          <w:sz w:val="20"/>
          <w:szCs w:val="20"/>
        </w:rPr>
        <w:t xml:space="preserve"> directly on </w:t>
      </w:r>
      <w:r>
        <w:rPr>
          <w:rFonts w:ascii="Calibri" w:cs="Calibri" w:eastAsia="Calibri" w:hAnsi="Calibri"/>
          <w:b/>
          <w:bCs/>
          <w:color w:val="000000"/>
          <w:sz w:val="20"/>
          <w:szCs w:val="20"/>
        </w:rPr>
        <w:t xml:space="preserve">the number on your policy schedule</w:t>
      </w:r>
      <w:r>
        <w:rPr>
          <w:rFonts w:ascii="Calibri" w:cs="Calibri" w:eastAsia="Calibri" w:hAnsi="Calibri"/>
          <w:b w:val="false"/>
          <w:bCs w:val="false"/>
          <w:color w:val="000000"/>
          <w:sz w:val="20"/>
          <w:szCs w:val="20"/>
        </w:rPr>
        <w:t xml:space="preserve">.</w:t>
      </w:r>
    </w:p>
    <w:p>
      <w:r>
        <w:t xml:space="preserve"/>
      </w:r>
    </w:p>
    <w:p>
      <w:pPr>
        <w:keepNext/>
        <w:spacing w:after="240"/>
        <w:jc w:val="center"/>
      </w:pPr>
      <w:r>
        <w:rPr>
          <w:rFonts w:ascii="Calibri" w:cs="Calibri" w:eastAsia="Calibri" w:hAnsi="Calibri"/>
          <w:b/>
          <w:bCs/>
          <w:color w:val="000000"/>
          <w:sz w:val="28"/>
          <w:szCs w:val="28"/>
        </w:rPr>
        <w:t xml:space="preserve">Section A: Summary of information</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880"/>
        <w:gridCol w:w="6120"/>
      </w:tblGrid>
      <w:tr>
        <w:tc>
          <w:tcPr>
            <w:tcMar>
              <w:top w:type="dxa" w:w="144"/>
              <w:left w:type="dxa" w:w="144"/>
              <w:bottom w:type="dxa" w:w="144"/>
              <w:right w:type="dxa" w:w="144"/>
            </w:tcMar>
          </w:tcPr>
          <w:p>
            <w:r>
              <w:t xml:space="preserve"/>
            </w:r>
          </w:p>
        </w:tc>
        <w:tc>
          <w:tcPr>
            <w:shd w:fill="D9D9D9" w:val="clear"/>
            <w:tcMar>
              <w:top w:type="dxa" w:w="144"/>
              <w:left w:type="dxa" w:w="144"/>
              <w:bottom w:type="dxa" w:w="144"/>
              <w:right w:type="dxa" w:w="144"/>
            </w:tcMar>
          </w:tcPr>
          <w:p>
            <w:pPr>
              <w:jc w:val="center"/>
            </w:pPr>
            <w:r>
              <w:rPr>
                <w:rFonts w:ascii="Calibri" w:cs="Calibri" w:eastAsia="Calibri" w:hAnsi="Calibri"/>
                <w:b/>
                <w:bCs/>
                <w:color w:val="000000"/>
                <w:sz w:val="22"/>
                <w:szCs w:val="22"/>
              </w:rPr>
              <w:t xml:space="preserve">Details</w:t>
            </w:r>
          </w:p>
        </w:tc>
      </w:tr>
      <w:tr>
        <w:tc>
          <w:tcPr>
            <w:tcMar>
              <w:top w:type="dxa" w:w="144"/>
              <w:left w:type="dxa" w:w="144"/>
              <w:bottom w:type="dxa" w:w="144"/>
              <w:right w:type="dxa" w:w="144"/>
            </w:tcMar>
          </w:tcPr>
          <w:p>
            <w:r>
              <w:rPr>
                <w:rFonts w:ascii="Calibri" w:cs="Calibri" w:eastAsia="Calibri" w:hAnsi="Calibri"/>
                <w:b/>
                <w:bCs/>
                <w:color w:val="000000"/>
                <w:sz w:val="20"/>
                <w:szCs w:val="20"/>
              </w:rPr>
              <w:t xml:space="preserve">Clients Objectives:</w:t>
            </w:r>
          </w:p>
        </w:tc>
        <w:tc>
          <w:tcPr>
            <w:tcMar>
              <w:top w:type="dxa" w:w="144"/>
              <w:left w:type="dxa" w:w="144"/>
              <w:bottom w:type="dxa" w:w="144"/>
              <w:right w:type="dxa" w:w="144"/>
            </w:tcMar>
          </w:tcPr>
          <w:p>
            <w:pPr>
              <w:jc w:val="both"/>
            </w:pPr>
            <w:r>
              <w:rPr>
                <w:rFonts w:ascii="Calibri" w:cs="Calibri" w:eastAsia="Calibri" w:hAnsi="Calibri"/>
                <w:b w:val="false"/>
                <w:bCs w:val="false"/>
                <w:color w:val="000000"/>
                <w:sz w:val="20"/>
                <w:szCs w:val="20"/>
              </w:rPr>
              <w:t xml:space="preserve">Mrs. Sample requires comprehensive short-term insurance cover for her residential buildings at 1 Example Road, Gordon's Bay, and the contents of her main residence at Erf 0001, Example Street, Strand. Cover is also required for two personal-use vehicles, specified all-risk items (including a mobile device), unspecified clothing and personal effects, and personal legal liability protection up to R5,000,000. The renewing policy is expected to continue providing broad, first-class protection for these assets and associated liabilities.</w:t>
            </w:r>
          </w:p>
        </w:tc>
      </w:tr>
      <w:tr>
        <w:tc>
          <w:tcPr>
            <w:tcMar>
              <w:top w:type="dxa" w:w="144"/>
              <w:left w:type="dxa" w:w="144"/>
              <w:bottom w:type="dxa" w:w="144"/>
              <w:right w:type="dxa" w:w="144"/>
            </w:tcMar>
          </w:tcPr>
          <w:p>
            <w:r>
              <w:rPr>
                <w:rFonts w:ascii="Calibri" w:cs="Calibri" w:eastAsia="Calibri" w:hAnsi="Calibri"/>
                <w:b/>
                <w:bCs/>
                <w:color w:val="000000"/>
                <w:sz w:val="20"/>
                <w:szCs w:val="20"/>
              </w:rPr>
              <w:t xml:space="preserve">Client Information:</w:t>
            </w:r>
          </w:p>
        </w:tc>
        <w:tc>
          <w:tcPr>
            <w:tcMar>
              <w:top w:type="dxa" w:w="144"/>
              <w:left w:type="dxa" w:w="144"/>
              <w:bottom w:type="dxa" w:w="144"/>
              <w:right w:type="dxa" w:w="144"/>
            </w:tcMar>
          </w:tcPr>
          <w:p>
            <w:pPr>
              <w:jc w:val="both"/>
            </w:pPr>
            <w:r>
              <w:rPr>
                <w:rFonts w:ascii="Calibri" w:cs="Calibri" w:eastAsia="Calibri" w:hAnsi="Calibri"/>
                <w:b w:val="false"/>
                <w:bCs w:val="false"/>
                <w:color w:val="000000"/>
                <w:sz w:val="20"/>
                <w:szCs w:val="20"/>
              </w:rPr>
              <w:t xml:space="preserve">Client age: 64 years
ID Number: 620315XXXXXXX
Email: client@example.com
Contact: 0555550147
Address: PO Box 0001, Gordon's Bay, 7140</w:t>
            </w:r>
          </w:p>
        </w:tc>
      </w:tr>
      <w:tr>
        <w:tc>
          <w:tcPr>
            <w:tcMar>
              <w:top w:type="dxa" w:w="144"/>
              <w:left w:type="dxa" w:w="144"/>
              <w:bottom w:type="dxa" w:w="144"/>
              <w:right w:type="dxa" w:w="144"/>
            </w:tcMar>
          </w:tcPr>
          <w:p>
            <w:r>
              <w:rPr>
                <w:rFonts w:ascii="Calibri" w:cs="Calibri" w:eastAsia="Calibri" w:hAnsi="Calibri"/>
                <w:b/>
                <w:bCs/>
                <w:color w:val="000000"/>
                <w:sz w:val="20"/>
                <w:szCs w:val="20"/>
              </w:rPr>
              <w:t xml:space="preserve">Current Insurance Status:</w:t>
            </w:r>
          </w:p>
        </w:tc>
        <w:tc>
          <w:tcPr>
            <w:tcMar>
              <w:top w:type="dxa" w:w="144"/>
              <w:left w:type="dxa" w:w="144"/>
              <w:bottom w:type="dxa" w:w="144"/>
              <w:right w:type="dxa" w:w="144"/>
            </w:tcMar>
          </w:tcPr>
          <w:p>
            <w:pPr>
              <w:jc w:val="both"/>
            </w:pPr>
            <w:r>
              <w:rPr>
                <w:rFonts w:ascii="Calibri" w:cs="Calibri" w:eastAsia="Calibri" w:hAnsi="Calibri"/>
                <w:b w:val="false"/>
                <w:bCs w:val="false"/>
                <w:color w:val="000000"/>
                <w:sz w:val="20"/>
                <w:szCs w:val="20"/>
              </w:rPr>
              <w:t xml:space="preserve">Insurer A | Standard Personal Lines | Monthly Debit Order</w:t>
            </w:r>
          </w:p>
        </w:tc>
      </w:tr>
      <w:tr>
        <w:tc>
          <w:tcPr>
            <w:tcMar>
              <w:top w:type="dxa" w:w="144"/>
              <w:left w:type="dxa" w:w="144"/>
              <w:bottom w:type="dxa" w:w="144"/>
              <w:right w:type="dxa" w:w="144"/>
            </w:tcMar>
          </w:tcPr>
          <w:p>
            <w:r>
              <w:rPr>
                <w:rFonts w:ascii="Calibri" w:cs="Calibri" w:eastAsia="Calibri" w:hAnsi="Calibri"/>
                <w:b/>
                <w:bCs/>
                <w:color w:val="000000"/>
                <w:sz w:val="20"/>
                <w:szCs w:val="20"/>
              </w:rPr>
              <w:t xml:space="preserve">Client Profile Confirmation:</w:t>
            </w:r>
          </w:p>
        </w:tc>
        <w:tc>
          <w:tcPr>
            <w:tcMar>
              <w:top w:type="dxa" w:w="144"/>
              <w:left w:type="dxa" w:w="144"/>
              <w:bottom w:type="dxa" w:w="144"/>
              <w:right w:type="dxa" w:w="144"/>
            </w:tcMar>
          </w:tcPr>
          <w:p>
            <w:pPr>
              <w:jc w:val="both"/>
            </w:pPr>
            <w:r>
              <w:rPr>
                <w:rFonts w:ascii="Calibri" w:cs="Calibri" w:eastAsia="Calibri" w:hAnsi="Calibri"/>
                <w:b w:val="false"/>
                <w:bCs w:val="false"/>
                <w:color w:val="000000"/>
                <w:sz w:val="20"/>
                <w:szCs w:val="20"/>
              </w:rPr>
              <w:t xml:space="preserve">The client has confirmed that there have been no material changes to their circumstances, risk profile, or insured assets since the previous term.</w:t>
            </w:r>
          </w:p>
        </w:tc>
      </w:tr>
    </w:tbl>
    <w:p>
      <w:r>
        <w:t xml:space="preserve"/>
      </w:r>
    </w:p>
    <w:p>
      <w:pPr>
        <w:keepNext/>
        <w:spacing w:after="240"/>
        <w:jc w:val="center"/>
      </w:pPr>
      <w:r>
        <w:rPr>
          <w:rFonts w:ascii="Calibri" w:cs="Calibri" w:eastAsia="Calibri" w:hAnsi="Calibri"/>
          <w:b/>
          <w:bCs/>
          <w:color w:val="000000"/>
          <w:sz w:val="28"/>
          <w:szCs w:val="28"/>
        </w:rPr>
        <w:t xml:space="preserve">Needs and Goals identified</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160"/>
        <w:gridCol w:w="1080"/>
        <w:gridCol w:w="1620"/>
        <w:gridCol w:w="3240"/>
      </w:tblGrid>
      <w:tr>
        <w:trPr>
          <w:tblHeader/>
        </w:trPr>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Cover</w:t>
            </w:r>
          </w:p>
        </w:tc>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Cover Discussed (Y/N)</w:t>
            </w:r>
          </w:p>
        </w:tc>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Cover Amount</w:t>
            </w:r>
          </w:p>
        </w:tc>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Comments</w:t>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Motor Vehicle</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R309,800</w:t>
            </w:r>
          </w:p>
        </w:tc>
        <w:tc>
          <w:tcPr>
            <w:tcMar>
              <w:top w:type="dxa" w:w="144"/>
              <w:left w:type="dxa" w:w="144"/>
              <w:bottom w:type="dxa" w:w="144"/>
              <w:right w:type="dxa" w:w="144"/>
            </w:tcMar>
          </w:tcPr>
          <w:p>
            <w:pPr>
              <w:jc w:val="left"/>
            </w:pPr>
            <w:r>
              <w:rPr>
                <w:rFonts w:ascii="Calibri" w:cs="Calibri" w:eastAsia="Calibri" w:hAnsi="Calibri"/>
                <w:b w:val="false"/>
                <w:bCs w:val="false"/>
                <w:color w:val="000000"/>
                <w:sz w:val="20"/>
                <w:szCs w:val="20"/>
              </w:rPr>
              <w:t xml:space="preserve">-2019 Volkswagen Polo Vivo 1.6 Comfortline — Registration: CA 123-456 | VIN: AAVZZZ6SZKU000001 | Engine: CLS000001</w:t>
            </w:r>
          </w:p>
          <w:p>
            <w:pPr>
              <w:jc w:val="left"/>
            </w:pPr>
            <w:r>
              <w:rPr>
                <w:rFonts w:ascii="Calibri" w:cs="Calibri" w:eastAsia="Calibri" w:hAnsi="Calibri"/>
                <w:b w:val="false"/>
                <w:bCs w:val="false"/>
                <w:color w:val="000000"/>
                <w:sz w:val="20"/>
                <w:szCs w:val="20"/>
              </w:rPr>
              <w:t xml:space="preserve">-Sum insured - R198,100</w:t>
            </w:r>
          </w:p>
          <w:p>
            <w:r>
              <w:rPr>
                <w:rFonts w:ascii="Calibri" w:cs="Calibri" w:eastAsia="Calibri" w:hAnsi="Calibri"/>
                <w:b w:val="false"/>
                <w:bCs w:val="false"/>
                <w:color w:val="000000"/>
                <w:sz w:val="20"/>
                <w:szCs w:val="20"/>
              </w:rPr>
              <w:t xml:space="preserve"/>
            </w:r>
          </w:p>
          <w:p>
            <w:pPr>
              <w:jc w:val="left"/>
            </w:pPr>
            <w:r>
              <w:rPr>
                <w:rFonts w:ascii="Calibri" w:cs="Calibri" w:eastAsia="Calibri" w:hAnsi="Calibri"/>
                <w:b w:val="false"/>
                <w:bCs w:val="false"/>
                <w:color w:val="000000"/>
                <w:sz w:val="20"/>
                <w:szCs w:val="20"/>
              </w:rPr>
              <w:t xml:space="preserve">-2019 Nissan NP200 1.6 8V Base P/U S/C — Registration: CA 654-321 | VIN: ADNCD00000K000002 | Engine: K7M000002</w:t>
            </w:r>
          </w:p>
          <w:p>
            <w:pPr>
              <w:jc w:val="left"/>
            </w:pPr>
            <w:r>
              <w:rPr>
                <w:rFonts w:ascii="Calibri" w:cs="Calibri" w:eastAsia="Calibri" w:hAnsi="Calibri"/>
                <w:b w:val="false"/>
                <w:bCs w:val="false"/>
                <w:color w:val="000000"/>
                <w:sz w:val="20"/>
                <w:szCs w:val="20"/>
              </w:rPr>
              <w:t xml:space="preserve">-Sum insured - R111,700</w:t>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Motorcycle</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Pleasure Crafts</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Specialised Machinery</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Buildings</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R6,950,987</w:t>
            </w:r>
          </w:p>
        </w:tc>
        <w:tc>
          <w:tcPr>
            <w:tcMar>
              <w:top w:type="dxa" w:w="144"/>
              <w:left w:type="dxa" w:w="144"/>
              <w:bottom w:type="dxa" w:w="144"/>
              <w:right w:type="dxa" w:w="144"/>
            </w:tcMar>
          </w:tcPr>
          <w:p>
            <w:pPr>
              <w:jc w:val="left"/>
            </w:pPr>
            <w:r>
              <w:rPr>
                <w:rFonts w:ascii="Calibri" w:cs="Calibri" w:eastAsia="Calibri" w:hAnsi="Calibri"/>
                <w:b w:val="false"/>
                <w:bCs w:val="false"/>
                <w:color w:val="000000"/>
                <w:sz w:val="20"/>
                <w:szCs w:val="20"/>
              </w:rPr>
              <w:t xml:space="preserve">-1 Example Road, Gordon's Bay, 7140</w:t>
            </w:r>
          </w:p>
          <w:p>
            <w:pPr>
              <w:jc w:val="left"/>
            </w:pPr>
            <w:r>
              <w:rPr>
                <w:rFonts w:ascii="Calibri" w:cs="Calibri" w:eastAsia="Calibri" w:hAnsi="Calibri"/>
                <w:b w:val="false"/>
                <w:bCs w:val="false"/>
                <w:color w:val="000000"/>
                <w:sz w:val="20"/>
                <w:szCs w:val="20"/>
              </w:rPr>
              <w:t xml:space="preserve">-Sum insured - R6,950,987</w:t>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Household Contents</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R1,179,371</w:t>
            </w:r>
          </w:p>
        </w:tc>
        <w:tc>
          <w:tcPr>
            <w:tcMar>
              <w:top w:type="dxa" w:w="144"/>
              <w:left w:type="dxa" w:w="144"/>
              <w:bottom w:type="dxa" w:w="144"/>
              <w:right w:type="dxa" w:w="144"/>
            </w:tcMar>
          </w:tcPr>
          <w:p>
            <w:pPr>
              <w:jc w:val="left"/>
            </w:pPr>
            <w:r>
              <w:rPr>
                <w:rFonts w:ascii="Calibri" w:cs="Calibri" w:eastAsia="Calibri" w:hAnsi="Calibri"/>
                <w:b w:val="false"/>
                <w:bCs w:val="false"/>
                <w:color w:val="000000"/>
                <w:sz w:val="20"/>
                <w:szCs w:val="20"/>
              </w:rPr>
              <w:t xml:space="preserve">-Erf 0001, 2 Example Street, Strand, 7140</w:t>
            </w:r>
          </w:p>
          <w:p>
            <w:pPr>
              <w:jc w:val="left"/>
            </w:pPr>
            <w:r>
              <w:rPr>
                <w:rFonts w:ascii="Calibri" w:cs="Calibri" w:eastAsia="Calibri" w:hAnsi="Calibri"/>
                <w:b w:val="false"/>
                <w:bCs w:val="false"/>
                <w:color w:val="000000"/>
                <w:sz w:val="20"/>
                <w:szCs w:val="20"/>
              </w:rPr>
              <w:t xml:space="preserve">-Sum insured - R1,179,371</w:t>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All Risk</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R30,000</w:t>
            </w:r>
          </w:p>
        </w:tc>
        <w:tc>
          <w:tcPr>
            <w:tcMar>
              <w:top w:type="dxa" w:w="144"/>
              <w:left w:type="dxa" w:w="144"/>
              <w:bottom w:type="dxa" w:w="144"/>
              <w:right w:type="dxa" w:w="144"/>
            </w:tcMar>
          </w:tcPr>
          <w:p>
            <w:pPr>
              <w:jc w:val="left"/>
            </w:pPr>
            <w:r>
              <w:rPr>
                <w:rFonts w:ascii="Calibri" w:cs="Calibri" w:eastAsia="Calibri" w:hAnsi="Calibri"/>
                <w:b w:val="false"/>
                <w:bCs w:val="false"/>
                <w:color w:val="000000"/>
                <w:sz w:val="20"/>
                <w:szCs w:val="20"/>
              </w:rPr>
              <w:t xml:space="preserve">-Unspecified all risk</w:t>
            </w:r>
          </w:p>
          <w:p>
            <w:pPr>
              <w:jc w:val="left"/>
            </w:pPr>
            <w:r>
              <w:rPr>
                <w:rFonts w:ascii="Calibri" w:cs="Calibri" w:eastAsia="Calibri" w:hAnsi="Calibri"/>
                <w:b w:val="false"/>
                <w:bCs w:val="false"/>
                <w:color w:val="000000"/>
                <w:sz w:val="20"/>
                <w:szCs w:val="20"/>
              </w:rPr>
              <w:t xml:space="preserve">-Sum insured - R30,000</w:t>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Specified Items</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R32,541</w:t>
            </w:r>
          </w:p>
        </w:tc>
        <w:tc>
          <w:tcPr>
            <w:tcMar>
              <w:top w:type="dxa" w:w="144"/>
              <w:left w:type="dxa" w:w="144"/>
              <w:bottom w:type="dxa" w:w="144"/>
              <w:right w:type="dxa" w:w="144"/>
            </w:tcMar>
          </w:tcPr>
          <w:p>
            <w:pPr>
              <w:jc w:val="left"/>
            </w:pPr>
            <w:r>
              <w:rPr>
                <w:rFonts w:ascii="Calibri" w:cs="Calibri" w:eastAsia="Calibri" w:hAnsi="Calibri"/>
                <w:b w:val="false"/>
                <w:bCs w:val="false"/>
                <w:color w:val="000000"/>
                <w:sz w:val="20"/>
                <w:szCs w:val="20"/>
              </w:rPr>
              <w:t xml:space="preserve">-Mobile communication device — Apple iPhone 17 Pro Max, Deep Blue, 256GB, IMEI: 353000000000017</w:t>
            </w:r>
          </w:p>
          <w:p>
            <w:pPr>
              <w:jc w:val="left"/>
            </w:pPr>
            <w:r>
              <w:rPr>
                <w:rFonts w:ascii="Calibri" w:cs="Calibri" w:eastAsia="Calibri" w:hAnsi="Calibri"/>
                <w:b w:val="false"/>
                <w:bCs w:val="false"/>
                <w:color w:val="000000"/>
                <w:sz w:val="20"/>
                <w:szCs w:val="20"/>
              </w:rPr>
              <w:t xml:space="preserve">-Sum insured - R32,541</w:t>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Accidental Damage</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Electronic Equipment</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Personal Liability</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R5,000,000</w:t>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Assistance services</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Other</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
            </w:r>
          </w:p>
        </w:tc>
      </w:tr>
    </w:tbl>
    <w:p>
      <w:r>
        <w:t xml:space="preserve"/>
      </w:r>
    </w:p>
    <w:p>
      <w:pPr>
        <w:keepNext/>
        <w:spacing w:before="240" w:after="120"/>
      </w:pPr>
      <w:r>
        <w:rPr>
          <w:rFonts w:ascii="Calibri" w:cs="Calibri" w:eastAsia="Calibri" w:hAnsi="Calibri"/>
          <w:b/>
          <w:bCs/>
          <w:color w:val="000000"/>
          <w:sz w:val="28"/>
          <w:szCs w:val="28"/>
        </w:rPr>
        <w:t xml:space="preserve">Risks/Needs Identified — detail</w:t>
      </w:r>
    </w:p>
    <w:p>
      <w:r>
        <w:t xml:space="preserve"/>
      </w:r>
    </w:p>
    <w:p>
      <w:pPr>
        <w:keepNext/>
        <w:spacing w:after="240"/>
      </w:pPr>
      <w:r>
        <w:rPr>
          <w:rFonts w:ascii="Calibri" w:cs="Calibri" w:eastAsia="Calibri" w:hAnsi="Calibri"/>
          <w:b/>
          <w:bCs/>
          <w:color w:val="000000"/>
          <w:sz w:val="28"/>
          <w:szCs w:val="28"/>
        </w:rPr>
        <w:t xml:space="preserve">Building Section</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760"/>
        <w:gridCol w:w="1440"/>
        <w:gridCol w:w="1440"/>
      </w:tblGrid>
      <w:tr>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Insured premises
Address</w:t>
            </w:r>
          </w:p>
        </w:tc>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Sum insured</w:t>
            </w:r>
          </w:p>
        </w:tc>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Premium</w:t>
            </w:r>
          </w:p>
        </w:tc>
      </w:tr>
      <w:tr>
        <w:tc>
          <w:tcPr>
            <w:tcMar>
              <w:top w:type="dxa" w:w="144"/>
              <w:left w:type="dxa" w:w="144"/>
              <w:bottom w:type="dxa" w:w="144"/>
              <w:right w:type="dxa" w:w="144"/>
            </w:tcMar>
          </w:tcPr>
          <w:p>
            <w:pPr>
              <w:jc w:val="left"/>
            </w:pPr>
            <w:r>
              <w:rPr>
                <w:rFonts w:ascii="Calibri" w:cs="Calibri" w:eastAsia="Calibri" w:hAnsi="Calibri"/>
                <w:b w:val="false"/>
                <w:bCs w:val="false"/>
                <w:color w:val="000000"/>
                <w:sz w:val="20"/>
                <w:szCs w:val="20"/>
              </w:rPr>
              <w:t xml:space="preserve">Address 1
1 Example Road, Gordon's Bay, 7140</w:t>
            </w:r>
          </w:p>
          <w:p>
            <w:r>
              <w:rPr>
                <w:rFonts w:ascii="Calibri" w:cs="Calibri" w:eastAsia="Calibri" w:hAnsi="Calibri"/>
                <w:b/>
                <w:bCs/>
                <w:color w:val="000000"/>
                <w:sz w:val="22"/>
                <w:szCs w:val="22"/>
              </w:rPr>
              <w:t xml:space="preserve">PROPERTY-SPECIFIC CONDITIONS</w:t>
            </w:r>
          </w:p>
          <w:p>
            <w:r>
              <w:rPr>
                <w:rFonts w:ascii="Calibri" w:cs="Calibri" w:eastAsia="Calibri" w:hAnsi="Calibri"/>
                <w:b/>
                <w:bCs/>
                <w:color w:val="000000"/>
                <w:sz w:val="20"/>
                <w:szCs w:val="20"/>
              </w:rPr>
              <w:t xml:space="preserve">Property 1: 1 Example Road, Gordon's Bay, 7140</w:t>
            </w:r>
          </w:p>
          <w:p>
            <w:pPr>
              <w:pStyle w:val="ListParagraph"/>
              <w:numPr>
                <w:ilvl w:val="0"/>
                <w:numId w:val="1"/>
              </w:numPr>
            </w:pPr>
            <w:r>
              <w:rPr>
                <w:rFonts w:ascii="Calibri" w:cs="Calibri" w:eastAsia="Calibri" w:hAnsi="Calibri"/>
                <w:b w:val="false"/>
                <w:bCs w:val="false"/>
                <w:color w:val="000000"/>
                <w:sz w:val="20"/>
                <w:szCs w:val="20"/>
              </w:rPr>
              <w:t xml:space="preserve">Brick walls with tile roof (concrete or clay)</w:t>
            </w:r>
          </w:p>
          <w:p>
            <w:pPr>
              <w:pStyle w:val="ListParagraph"/>
              <w:numPr>
                <w:ilvl w:val="0"/>
                <w:numId w:val="1"/>
              </w:numPr>
            </w:pPr>
            <w:r>
              <w:rPr>
                <w:rFonts w:ascii="Calibri" w:cs="Calibri" w:eastAsia="Calibri" w:hAnsi="Calibri"/>
                <w:b w:val="false"/>
                <w:bCs w:val="false"/>
                <w:color w:val="000000"/>
                <w:sz w:val="20"/>
                <w:szCs w:val="20"/>
              </w:rPr>
              <w:t xml:space="preserve">Occupant: Owner</w:t>
            </w:r>
          </w:p>
          <w:p>
            <w:pPr>
              <w:pStyle w:val="ListParagraph"/>
              <w:numPr>
                <w:ilvl w:val="0"/>
                <w:numId w:val="1"/>
              </w:numPr>
            </w:pPr>
            <w:r>
              <w:rPr>
                <w:rFonts w:ascii="Calibri" w:cs="Calibri" w:eastAsia="Calibri" w:hAnsi="Calibri"/>
                <w:b w:val="false"/>
                <w:bCs w:val="false"/>
                <w:color w:val="000000"/>
                <w:sz w:val="20"/>
                <w:szCs w:val="20"/>
              </w:rPr>
              <w:t xml:space="preserve">Premises type: Residential — classified as other residence (not main residence)</w:t>
            </w:r>
          </w:p>
          <w:p>
            <w:pPr>
              <w:pStyle w:val="ListParagraph"/>
              <w:numPr>
                <w:ilvl w:val="0"/>
                <w:numId w:val="1"/>
              </w:numPr>
            </w:pPr>
            <w:r>
              <w:rPr>
                <w:rFonts w:ascii="Calibri" w:cs="Calibri" w:eastAsia="Calibri" w:hAnsi="Calibri"/>
                <w:b w:val="false"/>
                <w:bCs w:val="false"/>
                <w:color w:val="000000"/>
                <w:sz w:val="20"/>
                <w:szCs w:val="20"/>
              </w:rPr>
              <w:t xml:space="preserve">Property confirmed as not unoccupied for more than 60 consecutive days during the 12-month period</w:t>
            </w:r>
          </w:p>
          <w:p>
            <w:pPr>
              <w:pStyle w:val="ListParagraph"/>
              <w:numPr>
                <w:ilvl w:val="0"/>
                <w:numId w:val="1"/>
              </w:numPr>
            </w:pPr>
            <w:r>
              <w:rPr>
                <w:rFonts w:ascii="Calibri" w:cs="Calibri" w:eastAsia="Calibri" w:hAnsi="Calibri"/>
                <w:b w:val="false"/>
                <w:bCs w:val="false"/>
                <w:color w:val="000000"/>
                <w:sz w:val="20"/>
                <w:szCs w:val="20"/>
              </w:rPr>
              <w:t xml:space="preserve">Inflation protection applied at 6% per renewal term</w:t>
            </w:r>
          </w:p>
          <w:p>
            <w:pPr>
              <w:pStyle w:val="ListParagraph"/>
              <w:numPr>
                <w:ilvl w:val="0"/>
                <w:numId w:val="1"/>
              </w:numPr>
            </w:pPr>
            <w:r>
              <w:rPr>
                <w:rFonts w:ascii="Calibri" w:cs="Calibri" w:eastAsia="Calibri" w:hAnsi="Calibri"/>
                <w:b w:val="false"/>
                <w:bCs w:val="false"/>
                <w:color w:val="000000"/>
                <w:sz w:val="20"/>
                <w:szCs w:val="20"/>
              </w:rPr>
              <w:t xml:space="preserve">Alternative accommodation: up to R1,737,747, maximum 12 months</w:t>
            </w:r>
          </w:p>
          <w:p>
            <w:pPr>
              <w:pStyle w:val="ListParagraph"/>
              <w:numPr>
                <w:ilvl w:val="0"/>
                <w:numId w:val="1"/>
              </w:numPr>
            </w:pPr>
            <w:r>
              <w:rPr>
                <w:rFonts w:ascii="Calibri" w:cs="Calibri" w:eastAsia="Calibri" w:hAnsi="Calibri"/>
                <w:b w:val="false"/>
                <w:bCs w:val="false"/>
                <w:color w:val="000000"/>
                <w:sz w:val="20"/>
                <w:szCs w:val="20"/>
              </w:rPr>
              <w:t xml:space="preserve">Rent receivable: up to R1,737,747, maximum 12 months</w:t>
            </w:r>
          </w:p>
          <w:p>
            <w:pPr>
              <w:pStyle w:val="ListParagraph"/>
              <w:numPr>
                <w:ilvl w:val="0"/>
                <w:numId w:val="1"/>
              </w:numPr>
            </w:pPr>
            <w:r>
              <w:rPr>
                <w:rFonts w:ascii="Calibri" w:cs="Calibri" w:eastAsia="Calibri" w:hAnsi="Calibri"/>
                <w:b w:val="false"/>
                <w:bCs w:val="false"/>
                <w:color w:val="000000"/>
                <w:sz w:val="20"/>
                <w:szCs w:val="20"/>
              </w:rPr>
              <w:t xml:space="preserve">Emergency accommodation: R5,000</w:t>
            </w:r>
          </w:p>
          <w:p>
            <w:pPr>
              <w:pStyle w:val="ListParagraph"/>
              <w:numPr>
                <w:ilvl w:val="0"/>
                <w:numId w:val="1"/>
              </w:numPr>
            </w:pPr>
            <w:r>
              <w:rPr>
                <w:rFonts w:ascii="Calibri" w:cs="Calibri" w:eastAsia="Calibri" w:hAnsi="Calibri"/>
                <w:b w:val="false"/>
                <w:bCs w:val="false"/>
                <w:color w:val="000000"/>
                <w:sz w:val="20"/>
                <w:szCs w:val="20"/>
              </w:rPr>
              <w:t xml:space="preserve">Damage by wild baboons or wild monkeys: R139,020 per claim, no excess</w:t>
            </w:r>
          </w:p>
          <w:p>
            <w:pPr>
              <w:pStyle w:val="ListParagraph"/>
              <w:numPr>
                <w:ilvl w:val="0"/>
                <w:numId w:val="1"/>
              </w:numPr>
            </w:pPr>
            <w:r>
              <w:rPr>
                <w:rFonts w:ascii="Calibri" w:cs="Calibri" w:eastAsia="Calibri" w:hAnsi="Calibri"/>
                <w:b w:val="false"/>
                <w:bCs w:val="false"/>
                <w:color w:val="000000"/>
                <w:sz w:val="20"/>
                <w:szCs w:val="20"/>
              </w:rPr>
              <w:t xml:space="preserve">Special alterations (wheelchair accessibility): R10,000 per claim</w:t>
            </w:r>
          </w:p>
          <w:p>
            <w:pPr>
              <w:pStyle w:val="ListParagraph"/>
              <w:numPr>
                <w:ilvl w:val="0"/>
                <w:numId w:val="1"/>
              </w:numPr>
            </w:pPr>
            <w:r>
              <w:rPr>
                <w:rFonts w:ascii="Calibri" w:cs="Calibri" w:eastAsia="Calibri" w:hAnsi="Calibri"/>
                <w:b w:val="false"/>
                <w:bCs w:val="false"/>
                <w:color w:val="000000"/>
                <w:sz w:val="20"/>
                <w:szCs w:val="20"/>
              </w:rPr>
              <w:t xml:space="preserve">Tracing of leaks: R5,000 per claim</w:t>
            </w:r>
          </w:p>
          <w:p>
            <w:pPr>
              <w:pStyle w:val="ListParagraph"/>
              <w:numPr>
                <w:ilvl w:val="0"/>
                <w:numId w:val="1"/>
              </w:numPr>
            </w:pPr>
            <w:r>
              <w:rPr>
                <w:rFonts w:ascii="Calibri" w:cs="Calibri" w:eastAsia="Calibri" w:hAnsi="Calibri"/>
                <w:b w:val="false"/>
                <w:bCs w:val="false"/>
                <w:color w:val="000000"/>
                <w:sz w:val="20"/>
                <w:szCs w:val="20"/>
              </w:rPr>
              <w:t xml:space="preserve">Loss of water: R2,500 per claim</w:t>
            </w:r>
          </w:p>
          <w:p>
            <w:pPr>
              <w:pStyle w:val="ListParagraph"/>
              <w:numPr>
                <w:ilvl w:val="0"/>
                <w:numId w:val="1"/>
              </w:numPr>
            </w:pPr>
            <w:r>
              <w:rPr>
                <w:rFonts w:ascii="Calibri" w:cs="Calibri" w:eastAsia="Calibri" w:hAnsi="Calibri"/>
                <w:b w:val="false"/>
                <w:bCs w:val="false"/>
                <w:color w:val="000000"/>
                <w:sz w:val="20"/>
                <w:szCs w:val="20"/>
              </w:rPr>
              <w:t xml:space="preserve">Power Surge: Limit per claim R5,000, Excess per claim R2,500</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R6,950,987</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R1,168.20</w:t>
            </w:r>
          </w:p>
        </w:tc>
      </w:tr>
    </w:tbl>
    <w:p>
      <w:r>
        <w:t xml:space="preserve"/>
      </w:r>
    </w:p>
    <w:p>
      <w:pPr>
        <w:keepNext/>
        <w:spacing w:before="240" w:after="120"/>
      </w:pPr>
      <w:r>
        <w:rPr>
          <w:rFonts w:ascii="Calibri" w:cs="Calibri" w:eastAsia="Calibri" w:hAnsi="Calibri"/>
          <w:b/>
          <w:bCs/>
          <w:color w:val="000000"/>
          <w:sz w:val="24"/>
          <w:szCs w:val="24"/>
        </w:rPr>
        <w:t xml:space="preserve">Building Notes</w:t>
      </w:r>
    </w:p>
    <w:p>
      <w:r>
        <w:rPr>
          <w:rFonts w:ascii="Calibri" w:cs="Calibri" w:eastAsia="Calibri" w:hAnsi="Calibri"/>
          <w:b/>
          <w:bCs/>
          <w:color w:val="000000"/>
          <w:sz w:val="22"/>
          <w:szCs w:val="22"/>
        </w:rPr>
        <w:t xml:space="preserve">GENERAL CONDITIONS AND EXCLUSIONS</w:t>
      </w:r>
    </w:p>
    <w:p>
      <w:pPr>
        <w:pStyle w:val="ListParagraph"/>
        <w:numPr>
          <w:ilvl w:val="0"/>
          <w:numId w:val="1"/>
        </w:numPr>
      </w:pPr>
      <w:r>
        <w:rPr>
          <w:rFonts w:ascii="Calibri" w:cs="Calibri" w:eastAsia="Calibri" w:hAnsi="Calibri"/>
          <w:b w:val="false"/>
          <w:bCs w:val="false"/>
          <w:color w:val="000000"/>
          <w:sz w:val="20"/>
          <w:szCs w:val="20"/>
        </w:rPr>
        <w:t xml:space="preserve">Loss of water is excluded if the private residence is unoccupied for more than 60 consecutive days per renewal period.</w:t>
      </w:r>
    </w:p>
    <w:p>
      <w:pPr>
        <w:pStyle w:val="ListParagraph"/>
        <w:numPr>
          <w:ilvl w:val="0"/>
          <w:numId w:val="1"/>
        </w:numPr>
      </w:pPr>
      <w:r>
        <w:rPr>
          <w:rFonts w:ascii="Calibri" w:cs="Calibri" w:eastAsia="Calibri" w:hAnsi="Calibri"/>
          <w:b w:val="false"/>
          <w:bCs w:val="false"/>
          <w:color w:val="000000"/>
          <w:sz w:val="20"/>
          <w:szCs w:val="20"/>
        </w:rPr>
        <w:t xml:space="preserve">Fixed glass, mirrors, and sanitaryware are not covered if the private residence is unoccupied and unfurnished for more than 60 consecutive days.</w:t>
      </w:r>
    </w:p>
    <w:p>
      <w:pPr>
        <w:pStyle w:val="ListParagraph"/>
        <w:numPr>
          <w:ilvl w:val="0"/>
          <w:numId w:val="1"/>
        </w:numPr>
      </w:pPr>
      <w:r>
        <w:rPr>
          <w:rFonts w:ascii="Calibri" w:cs="Calibri" w:eastAsia="Calibri" w:hAnsi="Calibri"/>
          <w:b w:val="false"/>
          <w:bCs w:val="false"/>
          <w:color w:val="000000"/>
          <w:sz w:val="20"/>
          <w:szCs w:val="20"/>
        </w:rPr>
        <w:t xml:space="preserve">Malicious damage is excluded if caused by or linked to a tenant or the tenant's family.</w:t>
      </w:r>
    </w:p>
    <w:p>
      <w:pPr>
        <w:pStyle w:val="ListParagraph"/>
        <w:numPr>
          <w:ilvl w:val="0"/>
          <w:numId w:val="1"/>
        </w:numPr>
      </w:pPr>
      <w:r>
        <w:rPr>
          <w:rFonts w:ascii="Calibri" w:cs="Calibri" w:eastAsia="Calibri" w:hAnsi="Calibri"/>
          <w:b w:val="false"/>
          <w:bCs w:val="false"/>
          <w:color w:val="000000"/>
          <w:sz w:val="20"/>
          <w:szCs w:val="20"/>
        </w:rPr>
        <w:t xml:space="preserve">Theft or attempted theft by or connected to a tenant is excluded.</w:t>
      </w:r>
    </w:p>
    <w:p>
      <w:pPr>
        <w:pStyle w:val="ListParagraph"/>
        <w:numPr>
          <w:ilvl w:val="0"/>
          <w:numId w:val="1"/>
        </w:numPr>
      </w:pPr>
      <w:r>
        <w:rPr>
          <w:rFonts w:ascii="Calibri" w:cs="Calibri" w:eastAsia="Calibri" w:hAnsi="Calibri"/>
          <w:b w:val="false"/>
          <w:bCs w:val="false"/>
          <w:color w:val="000000"/>
          <w:sz w:val="20"/>
          <w:szCs w:val="20"/>
        </w:rPr>
        <w:t xml:space="preserve">Important – Building Sum Insured / Average Clause: The client is responsible for ensuring that the building sum insured accurately reflects the full replacement value of the property at all times. Failure to insure the building for its correct replacement value may result in the application of the average clause, which could lead to a proportional reduction in the amount payable in the event of a claim.</w:t>
      </w:r>
    </w:p>
    <w:p>
      <w:r>
        <w:t xml:space="preserve"/>
      </w:r>
    </w:p>
    <w:p>
      <w:pPr>
        <w:keepNext/>
        <w:spacing w:after="240"/>
      </w:pPr>
      <w:r>
        <w:rPr>
          <w:rFonts w:ascii="Calibri" w:cs="Calibri" w:eastAsia="Calibri" w:hAnsi="Calibri"/>
          <w:b/>
          <w:bCs/>
          <w:color w:val="000000"/>
          <w:sz w:val="28"/>
          <w:szCs w:val="28"/>
        </w:rPr>
        <w:t xml:space="preserve">Contents Section</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760"/>
        <w:gridCol w:w="1440"/>
        <w:gridCol w:w="1440"/>
      </w:tblGrid>
      <w:tr>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Insured premises
Address</w:t>
            </w:r>
          </w:p>
        </w:tc>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Sum insured</w:t>
            </w:r>
          </w:p>
        </w:tc>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Premium</w:t>
            </w:r>
          </w:p>
        </w:tc>
      </w:tr>
      <w:tr>
        <w:tc>
          <w:tcPr>
            <w:tcMar>
              <w:top w:type="dxa" w:w="144"/>
              <w:left w:type="dxa" w:w="144"/>
              <w:bottom w:type="dxa" w:w="144"/>
              <w:right w:type="dxa" w:w="144"/>
            </w:tcMar>
          </w:tcPr>
          <w:p>
            <w:pPr>
              <w:jc w:val="left"/>
            </w:pPr>
            <w:r>
              <w:rPr>
                <w:rFonts w:ascii="Calibri" w:cs="Calibri" w:eastAsia="Calibri" w:hAnsi="Calibri"/>
                <w:b w:val="false"/>
                <w:bCs w:val="false"/>
                <w:color w:val="000000"/>
                <w:sz w:val="20"/>
                <w:szCs w:val="20"/>
              </w:rPr>
              <w:t xml:space="preserve">Address 1
Erf 0001, 2 Example Street, Strand, 7140</w:t>
            </w:r>
          </w:p>
          <w:p>
            <w:r>
              <w:rPr>
                <w:rFonts w:ascii="Calibri" w:cs="Calibri" w:eastAsia="Calibri" w:hAnsi="Calibri"/>
                <w:b/>
                <w:bCs/>
                <w:color w:val="000000"/>
                <w:sz w:val="20"/>
                <w:szCs w:val="20"/>
              </w:rPr>
              <w:t xml:space="preserve">Security Measures:</w:t>
            </w:r>
          </w:p>
          <w:p>
            <w:pPr>
              <w:pStyle w:val="ListParagraph"/>
              <w:numPr>
                <w:ilvl w:val="0"/>
                <w:numId w:val="1"/>
              </w:numPr>
            </w:pPr>
            <w:r>
              <w:rPr>
                <w:rFonts w:ascii="Calibri" w:cs="Calibri" w:eastAsia="Calibri" w:hAnsi="Calibri"/>
                <w:b w:val="false"/>
                <w:bCs w:val="false"/>
                <w:color w:val="000000"/>
                <w:sz w:val="20"/>
                <w:szCs w:val="20"/>
              </w:rPr>
              <w:t xml:space="preserve">Linked alarm with armed response (monitored 24-hour control room — mandatory condition)</w:t>
            </w:r>
          </w:p>
          <w:p>
            <w:pPr>
              <w:pStyle w:val="ListParagraph"/>
              <w:numPr>
                <w:ilvl w:val="0"/>
                <w:numId w:val="1"/>
              </w:numPr>
            </w:pPr>
            <w:r>
              <w:rPr>
                <w:rFonts w:ascii="Calibri" w:cs="Calibri" w:eastAsia="Calibri" w:hAnsi="Calibri"/>
                <w:b w:val="false"/>
                <w:bCs w:val="false"/>
                <w:color w:val="000000"/>
                <w:sz w:val="20"/>
                <w:szCs w:val="20"/>
              </w:rPr>
              <w:t xml:space="preserve">Security gates on all exterior doors (mandatory condition)</w:t>
            </w:r>
          </w:p>
          <w:p>
            <w:pPr>
              <w:pStyle w:val="ListParagraph"/>
              <w:numPr>
                <w:ilvl w:val="0"/>
                <w:numId w:val="1"/>
              </w:numPr>
            </w:pPr>
            <w:r>
              <w:rPr>
                <w:rFonts w:ascii="Calibri" w:cs="Calibri" w:eastAsia="Calibri" w:hAnsi="Calibri"/>
                <w:b w:val="false"/>
                <w:bCs w:val="false"/>
                <w:color w:val="000000"/>
                <w:sz w:val="20"/>
                <w:szCs w:val="20"/>
              </w:rPr>
              <w:t xml:space="preserve">Burglar bars on all opening windows (mandatory condition)</w:t>
            </w:r>
          </w:p>
          <w:p>
            <w:pPr>
              <w:pStyle w:val="ListParagraph"/>
              <w:numPr>
                <w:ilvl w:val="0"/>
                <w:numId w:val="1"/>
              </w:numPr>
            </w:pPr>
            <w:r>
              <w:rPr>
                <w:rFonts w:ascii="Calibri" w:cs="Calibri" w:eastAsia="Calibri" w:hAnsi="Calibri"/>
                <w:b w:val="false"/>
                <w:bCs w:val="false"/>
                <w:color w:val="000000"/>
                <w:sz w:val="20"/>
                <w:szCs w:val="20"/>
              </w:rPr>
              <w:t xml:space="preserve">Residence perimeter wall of brick/palisades/vibracrete</w:t>
            </w:r>
          </w:p>
          <w:p>
            <w:pPr>
              <w:pStyle w:val="ListParagraph"/>
              <w:numPr>
                <w:ilvl w:val="0"/>
                <w:numId w:val="1"/>
              </w:numPr>
            </w:pPr>
            <w:r>
              <w:rPr>
                <w:rFonts w:ascii="Calibri" w:cs="Calibri" w:eastAsia="Calibri" w:hAnsi="Calibri"/>
                <w:b w:val="false"/>
                <w:bCs w:val="false"/>
                <w:color w:val="000000"/>
                <w:sz w:val="20"/>
                <w:szCs w:val="20"/>
              </w:rPr>
              <w:t xml:space="preserve">Remote access control</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R1,179,371</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R310.89</w:t>
            </w:r>
          </w:p>
        </w:tc>
      </w:tr>
    </w:tbl>
    <w:p>
      <w:r>
        <w:t xml:space="preserve"/>
      </w:r>
    </w:p>
    <w:p>
      <w:pPr>
        <w:keepNext/>
        <w:spacing w:before="240" w:after="120"/>
      </w:pPr>
      <w:r>
        <w:rPr>
          <w:rFonts w:ascii="Calibri" w:cs="Calibri" w:eastAsia="Calibri" w:hAnsi="Calibri"/>
          <w:b/>
          <w:bCs/>
          <w:color w:val="000000"/>
          <w:sz w:val="24"/>
          <w:szCs w:val="24"/>
        </w:rPr>
        <w:t xml:space="preserve">Contents Notes</w:t>
      </w:r>
    </w:p>
    <w:p>
      <w:r>
        <w:rPr>
          <w:rFonts w:ascii="Calibri" w:cs="Calibri" w:eastAsia="Calibri" w:hAnsi="Calibri"/>
          <w:b/>
          <w:bCs/>
          <w:color w:val="000000"/>
          <w:sz w:val="22"/>
          <w:szCs w:val="22"/>
        </w:rPr>
        <w:t xml:space="preserve">GENERAL CONDITIONS AND EXCLUSIONS</w:t>
      </w:r>
    </w:p>
    <w:p>
      <w:pPr>
        <w:pStyle w:val="ListParagraph"/>
        <w:numPr>
          <w:ilvl w:val="0"/>
          <w:numId w:val="1"/>
        </w:numPr>
      </w:pPr>
      <w:r>
        <w:rPr>
          <w:rFonts w:ascii="Calibri" w:cs="Calibri" w:eastAsia="Calibri" w:hAnsi="Calibri"/>
          <w:b w:val="false"/>
          <w:bCs w:val="false"/>
          <w:color w:val="000000"/>
          <w:sz w:val="20"/>
          <w:szCs w:val="20"/>
        </w:rPr>
        <w:t xml:space="preserve">Average clause applies to contents — if the insured amount is less than the replacement value at time of claim, compensation will be reduced proportionally.</w:t>
      </w:r>
    </w:p>
    <w:p>
      <w:pPr>
        <w:pStyle w:val="ListParagraph"/>
        <w:numPr>
          <w:ilvl w:val="0"/>
          <w:numId w:val="1"/>
        </w:numPr>
      </w:pPr>
      <w:r>
        <w:rPr>
          <w:rFonts w:ascii="Calibri" w:cs="Calibri" w:eastAsia="Calibri" w:hAnsi="Calibri"/>
          <w:b w:val="false"/>
          <w:bCs w:val="false"/>
          <w:color w:val="000000"/>
          <w:sz w:val="20"/>
          <w:szCs w:val="20"/>
        </w:rPr>
        <w:t xml:space="preserve">Valuation certificate required for each valuable article (furs, jewellery, gemstones, watches, precious-metal articles) with an individual value of R25,000 or more. Non-compliance limits compensation to R25,000 per article.</w:t>
      </w:r>
    </w:p>
    <w:p>
      <w:pPr>
        <w:pStyle w:val="ListParagraph"/>
        <w:numPr>
          <w:ilvl w:val="0"/>
          <w:numId w:val="1"/>
        </w:numPr>
      </w:pPr>
      <w:r>
        <w:rPr>
          <w:rFonts w:ascii="Calibri" w:cs="Calibri" w:eastAsia="Calibri" w:hAnsi="Calibri"/>
          <w:b w:val="false"/>
          <w:bCs w:val="false"/>
          <w:color w:val="000000"/>
          <w:sz w:val="20"/>
          <w:szCs w:val="20"/>
        </w:rPr>
        <w:t xml:space="preserve">Loss of water is excluded if the private residence is unoccupied for more than 60 consecutive days.</w:t>
      </w:r>
    </w:p>
    <w:p>
      <w:pPr>
        <w:pStyle w:val="ListParagraph"/>
        <w:numPr>
          <w:ilvl w:val="0"/>
          <w:numId w:val="1"/>
        </w:numPr>
      </w:pPr>
      <w:r>
        <w:rPr>
          <w:rFonts w:ascii="Calibri" w:cs="Calibri" w:eastAsia="Calibri" w:hAnsi="Calibri"/>
          <w:b w:val="false"/>
          <w:bCs w:val="false"/>
          <w:color w:val="000000"/>
          <w:sz w:val="20"/>
          <w:szCs w:val="20"/>
        </w:rPr>
        <w:t xml:space="preserve">Power surge cover included: R5,000 per claim, excess R2,500 (premium R32.16).</w:t>
      </w:r>
    </w:p>
    <w:p>
      <w:pPr>
        <w:pStyle w:val="ListParagraph"/>
        <w:numPr>
          <w:ilvl w:val="0"/>
          <w:numId w:val="1"/>
        </w:numPr>
      </w:pPr>
      <w:r>
        <w:rPr>
          <w:rFonts w:ascii="Calibri" w:cs="Calibri" w:eastAsia="Calibri" w:hAnsi="Calibri"/>
          <w:b w:val="false"/>
          <w:bCs w:val="false"/>
          <w:color w:val="000000"/>
          <w:sz w:val="20"/>
          <w:szCs w:val="20"/>
        </w:rPr>
        <w:t xml:space="preserve">Temporary increase of insured amount by 10% applies from 15 December to 31 January annually.</w:t>
      </w:r>
    </w:p>
    <w:p>
      <w:pPr>
        <w:pStyle w:val="ListParagraph"/>
        <w:numPr>
          <w:ilvl w:val="0"/>
          <w:numId w:val="1"/>
        </w:numPr>
      </w:pPr>
      <w:r>
        <w:rPr>
          <w:rFonts w:ascii="Calibri" w:cs="Calibri" w:eastAsia="Calibri" w:hAnsi="Calibri"/>
          <w:b w:val="false"/>
          <w:bCs w:val="false"/>
          <w:color w:val="000000"/>
          <w:sz w:val="20"/>
          <w:szCs w:val="20"/>
        </w:rPr>
        <w:t xml:space="preserve">Valuable articles sub-limit: R393,124 per claim.</w:t>
      </w:r>
    </w:p>
    <w:p>
      <w:pPr>
        <w:pStyle w:val="ListParagraph"/>
        <w:numPr>
          <w:ilvl w:val="0"/>
          <w:numId w:val="1"/>
        </w:numPr>
      </w:pPr>
      <w:r>
        <w:rPr>
          <w:rFonts w:ascii="Calibri" w:cs="Calibri" w:eastAsia="Calibri" w:hAnsi="Calibri"/>
          <w:b w:val="false"/>
          <w:bCs w:val="false"/>
          <w:color w:val="000000"/>
          <w:sz w:val="20"/>
          <w:szCs w:val="20"/>
        </w:rPr>
        <w:t xml:space="preserve">Theft from a vehicle: R5,000 per claim.</w:t>
      </w:r>
    </w:p>
    <w:p>
      <w:pPr>
        <w:pStyle w:val="ListParagraph"/>
        <w:numPr>
          <w:ilvl w:val="0"/>
          <w:numId w:val="1"/>
        </w:numPr>
      </w:pPr>
      <w:r>
        <w:rPr>
          <w:rFonts w:ascii="Calibri" w:cs="Calibri" w:eastAsia="Calibri" w:hAnsi="Calibri"/>
          <w:b w:val="false"/>
          <w:bCs w:val="false"/>
          <w:color w:val="000000"/>
          <w:sz w:val="20"/>
          <w:szCs w:val="20"/>
        </w:rPr>
        <w:t xml:space="preserve">Theft or attempted theft from outbuildings: R23,587 per claim.</w:t>
      </w:r>
    </w:p>
    <w:p>
      <w:pPr>
        <w:pStyle w:val="ListParagraph"/>
        <w:numPr>
          <w:ilvl w:val="0"/>
          <w:numId w:val="1"/>
        </w:numPr>
      </w:pPr>
      <w:r>
        <w:rPr>
          <w:rFonts w:ascii="Calibri" w:cs="Calibri" w:eastAsia="Calibri" w:hAnsi="Calibri"/>
          <w:b w:val="false"/>
          <w:bCs w:val="false"/>
          <w:color w:val="000000"/>
          <w:sz w:val="20"/>
          <w:szCs w:val="20"/>
        </w:rPr>
        <w:t xml:space="preserve">Contents of refrigerators and freezers (spoilage): R23,587 per claim — electricity grid failure/load-shedding excluded.</w:t>
      </w:r>
    </w:p>
    <w:p>
      <w:pPr>
        <w:pStyle w:val="ListParagraph"/>
        <w:numPr>
          <w:ilvl w:val="0"/>
          <w:numId w:val="1"/>
        </w:numPr>
      </w:pPr>
      <w:r>
        <w:rPr>
          <w:rFonts w:ascii="Calibri" w:cs="Calibri" w:eastAsia="Calibri" w:hAnsi="Calibri"/>
          <w:b w:val="false"/>
          <w:bCs w:val="false"/>
          <w:color w:val="000000"/>
          <w:sz w:val="20"/>
          <w:szCs w:val="20"/>
        </w:rPr>
        <w:t xml:space="preserve">Money (excluding theft): R2,500 per claim.</w:t>
      </w:r>
    </w:p>
    <w:p>
      <w:pPr>
        <w:pStyle w:val="ListParagraph"/>
        <w:numPr>
          <w:ilvl w:val="0"/>
          <w:numId w:val="1"/>
        </w:numPr>
      </w:pPr>
      <w:r>
        <w:rPr>
          <w:rFonts w:ascii="Calibri" w:cs="Calibri" w:eastAsia="Calibri" w:hAnsi="Calibri"/>
          <w:b w:val="false"/>
          <w:bCs w:val="false"/>
          <w:color w:val="000000"/>
          <w:sz w:val="20"/>
          <w:szCs w:val="20"/>
        </w:rPr>
        <w:t xml:space="preserve">Tenant's liability: R5,000,000 per claim.</w:t>
      </w:r>
    </w:p>
    <w:p>
      <w:pPr>
        <w:pStyle w:val="ListParagraph"/>
        <w:numPr>
          <w:ilvl w:val="0"/>
          <w:numId w:val="1"/>
        </w:numPr>
      </w:pPr>
      <w:r>
        <w:rPr>
          <w:rFonts w:ascii="Calibri" w:cs="Calibri" w:eastAsia="Calibri" w:hAnsi="Calibri"/>
          <w:b w:val="false"/>
          <w:bCs w:val="false"/>
          <w:color w:val="000000"/>
          <w:sz w:val="20"/>
          <w:szCs w:val="20"/>
        </w:rPr>
        <w:t xml:space="preserve">Transport of groceries and household goods: R5,000 per claim (within 24 hours of purchase).</w:t>
      </w:r>
    </w:p>
    <w:p>
      <w:pPr>
        <w:pStyle w:val="ListParagraph"/>
        <w:numPr>
          <w:ilvl w:val="0"/>
          <w:numId w:val="1"/>
        </w:numPr>
      </w:pPr>
      <w:r>
        <w:rPr>
          <w:rFonts w:ascii="Calibri" w:cs="Calibri" w:eastAsia="Calibri" w:hAnsi="Calibri"/>
          <w:b w:val="false"/>
          <w:bCs w:val="false"/>
          <w:color w:val="000000"/>
          <w:sz w:val="20"/>
          <w:szCs w:val="20"/>
        </w:rPr>
        <w:t xml:space="preserve">Theft or attempted theft by or linked to a tenant is excluded.</w:t>
      </w:r>
    </w:p>
    <w:p>
      <w:pPr>
        <w:pStyle w:val="ListParagraph"/>
        <w:numPr>
          <w:ilvl w:val="0"/>
          <w:numId w:val="1"/>
        </w:numPr>
      </w:pPr>
      <w:r>
        <w:rPr>
          <w:rFonts w:ascii="Calibri" w:cs="Calibri" w:eastAsia="Calibri" w:hAnsi="Calibri"/>
          <w:b w:val="false"/>
          <w:bCs w:val="false"/>
          <w:color w:val="000000"/>
          <w:sz w:val="20"/>
          <w:szCs w:val="20"/>
        </w:rPr>
        <w:t xml:space="preserve">Malicious damage by or linked to a tenant is excluded.</w:t>
      </w:r>
    </w:p>
    <w:p>
      <w:r>
        <w:t xml:space="preserve"/>
      </w:r>
    </w:p>
    <w:p>
      <w:pPr>
        <w:keepNext/>
        <w:spacing w:after="240"/>
      </w:pPr>
      <w:r>
        <w:rPr>
          <w:rFonts w:ascii="Calibri" w:cs="Calibri" w:eastAsia="Calibri" w:hAnsi="Calibri"/>
          <w:b/>
          <w:bCs/>
          <w:color w:val="000000"/>
          <w:sz w:val="28"/>
          <w:szCs w:val="28"/>
        </w:rPr>
        <w:t xml:space="preserve">All Risk Specified Section</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760"/>
        <w:gridCol w:w="1440"/>
        <w:gridCol w:w="1440"/>
      </w:tblGrid>
      <w:tr>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Description</w:t>
            </w:r>
          </w:p>
        </w:tc>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Value</w:t>
            </w:r>
          </w:p>
        </w:tc>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Premium</w:t>
            </w:r>
          </w:p>
        </w:tc>
      </w:tr>
      <w:tr>
        <w:tc>
          <w:tcPr>
            <w:tcMar>
              <w:top w:type="dxa" w:w="144"/>
              <w:left w:type="dxa" w:w="144"/>
              <w:bottom w:type="dxa" w:w="144"/>
              <w:right w:type="dxa" w:w="144"/>
            </w:tcMar>
          </w:tcPr>
          <w:p>
            <w:pPr>
              <w:jc w:val="left"/>
            </w:pPr>
            <w:r>
              <w:rPr>
                <w:rFonts w:ascii="Calibri" w:cs="Calibri" w:eastAsia="Calibri" w:hAnsi="Calibri"/>
                <w:b w:val="false"/>
                <w:bCs w:val="false"/>
                <w:color w:val="000000"/>
                <w:sz w:val="20"/>
                <w:szCs w:val="20"/>
              </w:rPr>
              <w:t xml:space="preserve">Mobile communication device — Apple iPhone 17 Pro Max, Deep Blue, 256GB, IMEI: 353000000000017</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R32,541</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R318.42</w:t>
            </w:r>
          </w:p>
        </w:tc>
      </w:tr>
    </w:tbl>
    <w:p>
      <w:r>
        <w:t xml:space="preserve"/>
      </w:r>
    </w:p>
    <w:p>
      <w:pPr>
        <w:keepNext/>
        <w:spacing w:before="240" w:after="120"/>
      </w:pPr>
      <w:r>
        <w:rPr>
          <w:rFonts w:ascii="Calibri" w:cs="Calibri" w:eastAsia="Calibri" w:hAnsi="Calibri"/>
          <w:b/>
          <w:bCs/>
          <w:color w:val="000000"/>
          <w:sz w:val="24"/>
          <w:szCs w:val="24"/>
        </w:rPr>
        <w:t xml:space="preserve">All Risk Specified Notes</w:t>
      </w:r>
    </w:p>
    <w:p>
      <w:r>
        <w:rPr>
          <w:rFonts w:ascii="Calibri" w:cs="Calibri" w:eastAsia="Calibri" w:hAnsi="Calibri"/>
          <w:b/>
          <w:bCs/>
          <w:color w:val="000000"/>
          <w:sz w:val="22"/>
          <w:szCs w:val="22"/>
        </w:rPr>
        <w:t xml:space="preserve">GENERAL CONDITIONS AND EXCLUSIONS</w:t>
      </w:r>
    </w:p>
    <w:p>
      <w:pPr>
        <w:pStyle w:val="ListParagraph"/>
        <w:numPr>
          <w:ilvl w:val="0"/>
          <w:numId w:val="1"/>
        </w:numPr>
      </w:pPr>
      <w:r>
        <w:rPr>
          <w:rFonts w:ascii="Calibri" w:cs="Calibri" w:eastAsia="Calibri" w:hAnsi="Calibri"/>
          <w:b w:val="false"/>
          <w:bCs w:val="false"/>
          <w:color w:val="000000"/>
          <w:sz w:val="20"/>
          <w:szCs w:val="20"/>
        </w:rPr>
        <w:t xml:space="preserve">Specified all-risk cover includes accidental damage, loss, and mechanical/electrical/electronic breakdown for the listed mobile device.</w:t>
      </w:r>
    </w:p>
    <w:p>
      <w:pPr>
        <w:pStyle w:val="ListParagraph"/>
        <w:numPr>
          <w:ilvl w:val="0"/>
          <w:numId w:val="1"/>
        </w:numPr>
      </w:pPr>
      <w:r>
        <w:rPr>
          <w:rFonts w:ascii="Calibri" w:cs="Calibri" w:eastAsia="Calibri" w:hAnsi="Calibri"/>
          <w:b w:val="false"/>
          <w:bCs w:val="false"/>
          <w:color w:val="000000"/>
          <w:sz w:val="20"/>
          <w:szCs w:val="20"/>
        </w:rPr>
        <w:t xml:space="preserve">Cover is worldwide.</w:t>
      </w:r>
    </w:p>
    <w:p>
      <w:pPr>
        <w:pStyle w:val="ListParagraph"/>
        <w:numPr>
          <w:ilvl w:val="0"/>
          <w:numId w:val="1"/>
        </w:numPr>
      </w:pPr>
      <w:r>
        <w:rPr>
          <w:rFonts w:ascii="Calibri" w:cs="Calibri" w:eastAsia="Calibri" w:hAnsi="Calibri"/>
          <w:b w:val="false"/>
          <w:bCs w:val="false"/>
          <w:color w:val="000000"/>
          <w:sz w:val="20"/>
          <w:szCs w:val="20"/>
        </w:rPr>
        <w:t xml:space="preserve">Insured amounts for specified items are not automatically adjusted for inflation — values must be reviewed and updated manually.</w:t>
      </w:r>
    </w:p>
    <w:p>
      <w:pPr>
        <w:pStyle w:val="ListParagraph"/>
        <w:numPr>
          <w:ilvl w:val="0"/>
          <w:numId w:val="1"/>
        </w:numPr>
      </w:pPr>
      <w:r>
        <w:rPr>
          <w:rFonts w:ascii="Calibri" w:cs="Calibri" w:eastAsia="Calibri" w:hAnsi="Calibri"/>
          <w:b w:val="false"/>
          <w:bCs w:val="false"/>
          <w:color w:val="000000"/>
          <w:sz w:val="20"/>
          <w:szCs w:val="20"/>
        </w:rPr>
        <w:t xml:space="preserve">Theft from an unattended vehicle is only covered if the item was locked in the boot or locked interior of the vehicle.</w:t>
      </w:r>
    </w:p>
    <w:p>
      <w:r>
        <w:t xml:space="preserve"/>
      </w:r>
    </w:p>
    <w:p>
      <w:pPr>
        <w:keepNext/>
        <w:spacing w:after="240"/>
      </w:pPr>
      <w:r>
        <w:rPr>
          <w:rFonts w:ascii="Calibri" w:cs="Calibri" w:eastAsia="Calibri" w:hAnsi="Calibri"/>
          <w:b/>
          <w:bCs/>
          <w:color w:val="000000"/>
          <w:sz w:val="28"/>
          <w:szCs w:val="28"/>
        </w:rPr>
        <w:t xml:space="preserve">All Risk Unspecified Section</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760"/>
        <w:gridCol w:w="2880"/>
      </w:tblGrid>
      <w:tr>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Sum Insured</w:t>
            </w:r>
          </w:p>
        </w:tc>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Premium</w:t>
            </w:r>
          </w:p>
        </w:tc>
      </w:tr>
      <w:tr>
        <w:tc>
          <w:tcPr>
            <w:tcMar>
              <w:top w:type="dxa" w:w="144"/>
              <w:left w:type="dxa" w:w="144"/>
              <w:bottom w:type="dxa" w:w="144"/>
              <w:right w:type="dxa" w:w="144"/>
            </w:tcMar>
          </w:tcPr>
          <w:p>
            <w:pPr>
              <w:jc w:val="left"/>
            </w:pPr>
            <w:r>
              <w:rPr>
                <w:rFonts w:ascii="Calibri" w:cs="Calibri" w:eastAsia="Calibri" w:hAnsi="Calibri"/>
                <w:b w:val="false"/>
                <w:bCs w:val="false"/>
                <w:color w:val="000000"/>
                <w:sz w:val="20"/>
                <w:szCs w:val="20"/>
              </w:rPr>
              <w:t xml:space="preserve">Unspecified All risk
R30,000</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R247.92</w:t>
            </w:r>
          </w:p>
        </w:tc>
      </w:tr>
    </w:tbl>
    <w:p>
      <w:r>
        <w:t xml:space="preserve"/>
      </w:r>
    </w:p>
    <w:p>
      <w:pPr>
        <w:keepNext/>
        <w:spacing w:before="240" w:after="120"/>
      </w:pPr>
      <w:r>
        <w:rPr>
          <w:rFonts w:ascii="Calibri" w:cs="Calibri" w:eastAsia="Calibri" w:hAnsi="Calibri"/>
          <w:b/>
          <w:bCs/>
          <w:color w:val="000000"/>
          <w:sz w:val="24"/>
          <w:szCs w:val="24"/>
        </w:rPr>
        <w:t xml:space="preserve">All Risk Unspecified Notes</w:t>
      </w:r>
    </w:p>
    <w:p>
      <w:r>
        <w:rPr>
          <w:rFonts w:ascii="Calibri" w:cs="Calibri" w:eastAsia="Calibri" w:hAnsi="Calibri"/>
          <w:b/>
          <w:bCs/>
          <w:color w:val="000000"/>
          <w:sz w:val="22"/>
          <w:szCs w:val="22"/>
        </w:rPr>
        <w:t xml:space="preserve">GENERAL CONDITIONS AND EXCLUSIONS</w:t>
      </w:r>
    </w:p>
    <w:p>
      <w:pPr>
        <w:pStyle w:val="ListParagraph"/>
        <w:numPr>
          <w:ilvl w:val="0"/>
          <w:numId w:val="1"/>
        </w:numPr>
      </w:pPr>
      <w:r>
        <w:rPr>
          <w:rFonts w:ascii="Calibri" w:cs="Calibri" w:eastAsia="Calibri" w:hAnsi="Calibri"/>
          <w:b w:val="false"/>
          <w:bCs w:val="false"/>
          <w:color w:val="000000"/>
          <w:sz w:val="20"/>
          <w:szCs w:val="20"/>
        </w:rPr>
        <w:t xml:space="preserve">Clothing and personal effects — limit per item: R10,000; limit per claim: R30,000; no excess.</w:t>
      </w:r>
    </w:p>
    <w:p>
      <w:pPr>
        <w:pStyle w:val="ListParagraph"/>
        <w:numPr>
          <w:ilvl w:val="0"/>
          <w:numId w:val="1"/>
        </w:numPr>
      </w:pPr>
      <w:r>
        <w:rPr>
          <w:rFonts w:ascii="Calibri" w:cs="Calibri" w:eastAsia="Calibri" w:hAnsi="Calibri"/>
          <w:b w:val="false"/>
          <w:bCs w:val="false"/>
          <w:color w:val="000000"/>
          <w:sz w:val="20"/>
          <w:szCs w:val="20"/>
        </w:rPr>
        <w:t xml:space="preserve">Cover is worldwide.</w:t>
      </w:r>
    </w:p>
    <w:p>
      <w:pPr>
        <w:pStyle w:val="ListParagraph"/>
        <w:numPr>
          <w:ilvl w:val="0"/>
          <w:numId w:val="1"/>
        </w:numPr>
      </w:pPr>
      <w:r>
        <w:rPr>
          <w:rFonts w:ascii="Calibri" w:cs="Calibri" w:eastAsia="Calibri" w:hAnsi="Calibri"/>
          <w:b w:val="false"/>
          <w:bCs w:val="false"/>
          <w:color w:val="000000"/>
          <w:sz w:val="20"/>
          <w:szCs w:val="20"/>
        </w:rPr>
        <w:t xml:space="preserve">Excludes mobile communication devices, computer equipment, bicycles, keys, and surfboards/paddle skis/kayaks.</w:t>
      </w:r>
    </w:p>
    <w:p>
      <w:pPr>
        <w:pStyle w:val="ListParagraph"/>
        <w:numPr>
          <w:ilvl w:val="0"/>
          <w:numId w:val="1"/>
        </w:numPr>
      </w:pPr>
      <w:r>
        <w:rPr>
          <w:rFonts w:ascii="Calibri" w:cs="Calibri" w:eastAsia="Calibri" w:hAnsi="Calibri"/>
          <w:b w:val="false"/>
          <w:bCs w:val="false"/>
          <w:color w:val="000000"/>
          <w:sz w:val="20"/>
          <w:szCs w:val="20"/>
        </w:rPr>
        <w:t xml:space="preserve">Theft from an unattended vehicle is excluded unless property was in a locked boot or locked interior.</w:t>
      </w:r>
    </w:p>
    <w:p>
      <w:r>
        <w:t xml:space="preserve"/>
      </w:r>
    </w:p>
    <w:p>
      <w:pPr>
        <w:keepNext/>
        <w:spacing w:after="240"/>
      </w:pPr>
      <w:r>
        <w:rPr>
          <w:rFonts w:ascii="Calibri" w:cs="Calibri" w:eastAsia="Calibri" w:hAnsi="Calibri"/>
          <w:b/>
          <w:bCs/>
          <w:color w:val="000000"/>
          <w:sz w:val="28"/>
          <w:szCs w:val="28"/>
        </w:rPr>
        <w:t xml:space="preserve">Motor Vehicle Section</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760"/>
        <w:gridCol w:w="1440"/>
        <w:gridCol w:w="1440"/>
      </w:tblGrid>
      <w:tr>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Description</w:t>
            </w:r>
          </w:p>
        </w:tc>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Insured Value</w:t>
            </w:r>
          </w:p>
        </w:tc>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Premium</w:t>
            </w:r>
          </w:p>
        </w:tc>
      </w:tr>
      <w:tr>
        <w:tc>
          <w:tcPr>
            <w:tcMar>
              <w:top w:type="dxa" w:w="144"/>
              <w:left w:type="dxa" w:w="144"/>
              <w:bottom w:type="dxa" w:w="144"/>
              <w:right w:type="dxa" w:w="144"/>
            </w:tcMar>
          </w:tcPr>
          <w:p>
            <w:pPr>
              <w:jc w:val="left"/>
            </w:pPr>
            <w:r>
              <w:rPr>
                <w:rFonts w:ascii="Calibri" w:cs="Calibri" w:eastAsia="Calibri" w:hAnsi="Calibri"/>
                <w:b/>
                <w:bCs/>
                <w:color w:val="000000"/>
                <w:sz w:val="20"/>
                <w:szCs w:val="20"/>
              </w:rPr>
              <w:t xml:space="preserve">Vehicle 1: 2019 Volkswagen Polo Vivo 1.6 Comfortline — Registration: CA 123-456</w:t>
            </w:r>
          </w:p>
          <w:p>
            <w:pPr>
              <w:pStyle w:val="ListParagraph"/>
              <w:numPr>
                <w:ilvl w:val="0"/>
                <w:numId w:val="1"/>
              </w:numPr>
            </w:pPr>
            <w:r>
              <w:rPr>
                <w:rFonts w:ascii="Calibri" w:cs="Calibri" w:eastAsia="Calibri" w:hAnsi="Calibri"/>
                <w:b w:val="false"/>
                <w:bCs w:val="false"/>
                <w:color w:val="000000"/>
                <w:sz w:val="20"/>
                <w:szCs w:val="20"/>
              </w:rPr>
              <w:t xml:space="preserve">VIN: AAVZZZ6SZKU000001</w:t>
            </w:r>
          </w:p>
          <w:p>
            <w:pPr>
              <w:pStyle w:val="ListParagraph"/>
              <w:numPr>
                <w:ilvl w:val="0"/>
                <w:numId w:val="1"/>
              </w:numPr>
            </w:pPr>
            <w:r>
              <w:rPr>
                <w:rFonts w:ascii="Calibri" w:cs="Calibri" w:eastAsia="Calibri" w:hAnsi="Calibri"/>
                <w:b w:val="false"/>
                <w:bCs w:val="false"/>
                <w:color w:val="000000"/>
                <w:sz w:val="20"/>
                <w:szCs w:val="20"/>
              </w:rPr>
              <w:t xml:space="preserve">Engine: CLS000001</w:t>
            </w:r>
          </w:p>
          <w:p>
            <w:pPr>
              <w:pStyle w:val="ListParagraph"/>
              <w:numPr>
                <w:ilvl w:val="0"/>
                <w:numId w:val="1"/>
              </w:numPr>
            </w:pPr>
            <w:r>
              <w:rPr>
                <w:rFonts w:ascii="Calibri" w:cs="Calibri" w:eastAsia="Calibri" w:hAnsi="Calibri"/>
                <w:b w:val="false"/>
                <w:bCs w:val="false"/>
                <w:color w:val="000000"/>
                <w:sz w:val="20"/>
                <w:szCs w:val="20"/>
              </w:rPr>
              <w:t xml:space="preserve">Registered Owner: Mrs. M Sample</w:t>
            </w:r>
          </w:p>
          <w:p>
            <w:pPr>
              <w:pStyle w:val="ListParagraph"/>
              <w:numPr>
                <w:ilvl w:val="0"/>
                <w:numId w:val="1"/>
              </w:numPr>
            </w:pPr>
            <w:r>
              <w:rPr>
                <w:rFonts w:ascii="Calibri" w:cs="Calibri" w:eastAsia="Calibri" w:hAnsi="Calibri"/>
                <w:b w:val="false"/>
                <w:bCs w:val="false"/>
                <w:color w:val="000000"/>
                <w:sz w:val="20"/>
                <w:szCs w:val="20"/>
              </w:rPr>
              <w:t xml:space="preserve">Regular Driver: Mrs. M Sample (ID: 620315XXXXXXX)</w:t>
            </w:r>
          </w:p>
          <w:p>
            <w:pPr>
              <w:pStyle w:val="ListParagraph"/>
              <w:numPr>
                <w:ilvl w:val="0"/>
                <w:numId w:val="1"/>
              </w:numPr>
            </w:pPr>
            <w:r>
              <w:rPr>
                <w:rFonts w:ascii="Calibri" w:cs="Calibri" w:eastAsia="Calibri" w:hAnsi="Calibri"/>
                <w:b w:val="false"/>
                <w:bCs w:val="false"/>
                <w:color w:val="000000"/>
                <w:sz w:val="20"/>
                <w:szCs w:val="20"/>
              </w:rPr>
              <w:t xml:space="preserve">Basic Excess: R0</w:t>
            </w:r>
          </w:p>
          <w:p>
            <w:pPr>
              <w:pStyle w:val="ListParagraph"/>
              <w:numPr>
                <w:ilvl w:val="0"/>
                <w:numId w:val="1"/>
              </w:numPr>
            </w:pPr>
            <w:r>
              <w:rPr>
                <w:rFonts w:ascii="Calibri" w:cs="Calibri" w:eastAsia="Calibri" w:hAnsi="Calibri"/>
                <w:b w:val="false"/>
                <w:bCs w:val="false"/>
                <w:color w:val="000000"/>
                <w:sz w:val="20"/>
                <w:szCs w:val="20"/>
              </w:rPr>
              <w:t xml:space="preserve">Additional Excess: Additional excess of R1,000 if driver is under age of 25; additional excess of R2,000 if driver's licence held for less than 2 years; additional excess of R5,000 if driver is other than policyholder, spouse, or regular driver.</w:t>
            </w:r>
          </w:p>
          <w:p>
            <w:pPr>
              <w:pStyle w:val="ListParagraph"/>
              <w:numPr>
                <w:ilvl w:val="0"/>
                <w:numId w:val="1"/>
              </w:numPr>
            </w:pPr>
            <w:r>
              <w:rPr>
                <w:rFonts w:ascii="Calibri" w:cs="Calibri" w:eastAsia="Calibri" w:hAnsi="Calibri"/>
                <w:b w:val="false"/>
                <w:bCs w:val="false"/>
                <w:color w:val="000000"/>
                <w:sz w:val="20"/>
                <w:szCs w:val="20"/>
              </w:rPr>
              <w:t xml:space="preserve">Keys: R2,500 per claim, no excess</w:t>
            </w:r>
          </w:p>
          <w:p>
            <w:pPr>
              <w:pStyle w:val="ListParagraph"/>
              <w:numPr>
                <w:ilvl w:val="0"/>
                <w:numId w:val="1"/>
              </w:numPr>
            </w:pPr>
            <w:r>
              <w:rPr>
                <w:rFonts w:ascii="Calibri" w:cs="Calibri" w:eastAsia="Calibri" w:hAnsi="Calibri"/>
                <w:b w:val="false"/>
                <w:bCs w:val="false"/>
                <w:color w:val="000000"/>
                <w:sz w:val="20"/>
                <w:szCs w:val="20"/>
              </w:rPr>
              <w:t xml:space="preserve">Limits: Comprehensive cover; class of use: Private; insured for market value; no tracking device; no parking cover; licence type EB — towing; licence issued 2004.</w:t>
            </w:r>
          </w:p>
          <w:p>
            <w:pPr>
              <w:pStyle w:val="ListParagraph"/>
              <w:numPr>
                <w:ilvl w:val="0"/>
                <w:numId w:val="1"/>
              </w:numPr>
            </w:pPr>
            <w:r>
              <w:rPr>
                <w:rFonts w:ascii="Calibri" w:cs="Calibri" w:eastAsia="Calibri" w:hAnsi="Calibri"/>
                <w:b w:val="false"/>
                <w:bCs w:val="false"/>
                <w:color w:val="000000"/>
                <w:sz w:val="20"/>
                <w:szCs w:val="20"/>
              </w:rPr>
              <w:t xml:space="preserve">Overnight Address: Erf 0001, 2 Example Street, Strand, 7140 (Behind locked gates)</w:t>
            </w:r>
          </w:p>
          <w:p>
            <w:r>
              <w:rPr>
                <w:rFonts w:ascii="Calibri" w:cs="Calibri" w:eastAsia="Calibri" w:hAnsi="Calibri"/>
                <w:i/>
                <w:iCs/>
                <w:color w:val="000000"/>
                <w:sz w:val="20"/>
                <w:szCs w:val="20"/>
              </w:rPr>
              <w:t xml:space="preserve">For the rest, refer to the policy schedule.</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R198,100</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R684.16</w:t>
            </w:r>
          </w:p>
        </w:tc>
      </w:tr>
      <w:tr>
        <w:tc>
          <w:tcPr>
            <w:tcMar>
              <w:top w:type="dxa" w:w="144"/>
              <w:left w:type="dxa" w:w="144"/>
              <w:bottom w:type="dxa" w:w="144"/>
              <w:right w:type="dxa" w:w="144"/>
            </w:tcMar>
          </w:tcPr>
          <w:p>
            <w:pPr>
              <w:jc w:val="left"/>
            </w:pPr>
            <w:r>
              <w:rPr>
                <w:rFonts w:ascii="Calibri" w:cs="Calibri" w:eastAsia="Calibri" w:hAnsi="Calibri"/>
                <w:b/>
                <w:bCs/>
                <w:color w:val="000000"/>
                <w:sz w:val="20"/>
                <w:szCs w:val="20"/>
              </w:rPr>
              <w:t xml:space="preserve">Vehicle 2: 2019 Nissan NP200 1.6 8V Base P/U S/C — Registration: CA 654-321</w:t>
            </w:r>
          </w:p>
          <w:p>
            <w:pPr>
              <w:pStyle w:val="ListParagraph"/>
              <w:numPr>
                <w:ilvl w:val="0"/>
                <w:numId w:val="1"/>
              </w:numPr>
            </w:pPr>
            <w:r>
              <w:rPr>
                <w:rFonts w:ascii="Calibri" w:cs="Calibri" w:eastAsia="Calibri" w:hAnsi="Calibri"/>
                <w:b w:val="false"/>
                <w:bCs w:val="false"/>
                <w:color w:val="000000"/>
                <w:sz w:val="20"/>
                <w:szCs w:val="20"/>
              </w:rPr>
              <w:t xml:space="preserve">VIN: ADNCD00000K000002</w:t>
            </w:r>
          </w:p>
          <w:p>
            <w:pPr>
              <w:pStyle w:val="ListParagraph"/>
              <w:numPr>
                <w:ilvl w:val="0"/>
                <w:numId w:val="1"/>
              </w:numPr>
            </w:pPr>
            <w:r>
              <w:rPr>
                <w:rFonts w:ascii="Calibri" w:cs="Calibri" w:eastAsia="Calibri" w:hAnsi="Calibri"/>
                <w:b w:val="false"/>
                <w:bCs w:val="false"/>
                <w:color w:val="000000"/>
                <w:sz w:val="20"/>
                <w:szCs w:val="20"/>
              </w:rPr>
              <w:t xml:space="preserve">Engine: K7M000002</w:t>
            </w:r>
          </w:p>
          <w:p>
            <w:pPr>
              <w:pStyle w:val="ListParagraph"/>
              <w:numPr>
                <w:ilvl w:val="0"/>
                <w:numId w:val="1"/>
              </w:numPr>
            </w:pPr>
            <w:r>
              <w:rPr>
                <w:rFonts w:ascii="Calibri" w:cs="Calibri" w:eastAsia="Calibri" w:hAnsi="Calibri"/>
                <w:b w:val="false"/>
                <w:bCs w:val="false"/>
                <w:color w:val="000000"/>
                <w:sz w:val="20"/>
                <w:szCs w:val="20"/>
              </w:rPr>
              <w:t xml:space="preserve">Registered Owner: Mrs. M Sample</w:t>
            </w:r>
          </w:p>
          <w:p>
            <w:pPr>
              <w:pStyle w:val="ListParagraph"/>
              <w:numPr>
                <w:ilvl w:val="0"/>
                <w:numId w:val="1"/>
              </w:numPr>
            </w:pPr>
            <w:r>
              <w:rPr>
                <w:rFonts w:ascii="Calibri" w:cs="Calibri" w:eastAsia="Calibri" w:hAnsi="Calibri"/>
                <w:b w:val="false"/>
                <w:bCs w:val="false"/>
                <w:color w:val="000000"/>
                <w:sz w:val="20"/>
                <w:szCs w:val="20"/>
              </w:rPr>
              <w:t xml:space="preserve">Regular Driver: Mr. TJ Example (ID: 900614XXXXXXX)</w:t>
            </w:r>
          </w:p>
          <w:p>
            <w:pPr>
              <w:pStyle w:val="ListParagraph"/>
              <w:numPr>
                <w:ilvl w:val="0"/>
                <w:numId w:val="1"/>
              </w:numPr>
            </w:pPr>
            <w:r>
              <w:rPr>
                <w:rFonts w:ascii="Calibri" w:cs="Calibri" w:eastAsia="Calibri" w:hAnsi="Calibri"/>
                <w:b w:val="false"/>
                <w:bCs w:val="false"/>
                <w:color w:val="000000"/>
                <w:sz w:val="20"/>
                <w:szCs w:val="20"/>
              </w:rPr>
              <w:t xml:space="preserve">Basic Excess: R0</w:t>
            </w:r>
          </w:p>
          <w:p>
            <w:pPr>
              <w:pStyle w:val="ListParagraph"/>
              <w:numPr>
                <w:ilvl w:val="0"/>
                <w:numId w:val="1"/>
              </w:numPr>
            </w:pPr>
            <w:r>
              <w:rPr>
                <w:rFonts w:ascii="Calibri" w:cs="Calibri" w:eastAsia="Calibri" w:hAnsi="Calibri"/>
                <w:b w:val="false"/>
                <w:bCs w:val="false"/>
                <w:color w:val="000000"/>
                <w:sz w:val="20"/>
                <w:szCs w:val="20"/>
              </w:rPr>
              <w:t xml:space="preserve">Additional Excess: Additional excess of R1,000 if driver is under age of 25; additional excess of R2,000 if driver's licence held for less than 2 years; additional excess of R5,000 if driver is other than policyholder, spouse, or regular driver.</w:t>
            </w:r>
          </w:p>
          <w:p>
            <w:pPr>
              <w:pStyle w:val="ListParagraph"/>
              <w:numPr>
                <w:ilvl w:val="0"/>
                <w:numId w:val="1"/>
              </w:numPr>
            </w:pPr>
            <w:r>
              <w:rPr>
                <w:rFonts w:ascii="Calibri" w:cs="Calibri" w:eastAsia="Calibri" w:hAnsi="Calibri"/>
                <w:b w:val="false"/>
                <w:bCs w:val="false"/>
                <w:color w:val="000000"/>
                <w:sz w:val="20"/>
                <w:szCs w:val="20"/>
              </w:rPr>
              <w:t xml:space="preserve">Keys: R2,500 per claim, no excess</w:t>
            </w:r>
          </w:p>
          <w:p>
            <w:pPr>
              <w:pStyle w:val="ListParagraph"/>
              <w:numPr>
                <w:ilvl w:val="0"/>
                <w:numId w:val="1"/>
              </w:numPr>
            </w:pPr>
            <w:r>
              <w:rPr>
                <w:rFonts w:ascii="Calibri" w:cs="Calibri" w:eastAsia="Calibri" w:hAnsi="Calibri"/>
                <w:b w:val="false"/>
                <w:bCs w:val="false"/>
                <w:color w:val="000000"/>
                <w:sz w:val="20"/>
                <w:szCs w:val="20"/>
              </w:rPr>
              <w:t xml:space="preserve">Limits: Comprehensive cover; class of use: Private; insured for market value; no tracking device; no parking cover; licence type B (motor vehicle ≤3,500kg); licence issued 2012. Example Bank noted as cession holder — contract 0000000000, expiry 1 November 2029. Passenger liability in/on load body: R400,000 (outside RSA).</w:t>
            </w:r>
          </w:p>
          <w:p>
            <w:pPr>
              <w:pStyle w:val="ListParagraph"/>
              <w:numPr>
                <w:ilvl w:val="0"/>
                <w:numId w:val="1"/>
              </w:numPr>
            </w:pPr>
            <w:r>
              <w:rPr>
                <w:rFonts w:ascii="Calibri" w:cs="Calibri" w:eastAsia="Calibri" w:hAnsi="Calibri"/>
                <w:b w:val="false"/>
                <w:bCs w:val="false"/>
                <w:color w:val="000000"/>
                <w:sz w:val="20"/>
                <w:szCs w:val="20"/>
              </w:rPr>
              <w:t xml:space="preserve">Overnight Address: Erf 0001, 2 Example Street, Strand, 7140 (Behind locked gates)</w:t>
            </w:r>
          </w:p>
          <w:p>
            <w:r>
              <w:rPr>
                <w:rFonts w:ascii="Calibri" w:cs="Calibri" w:eastAsia="Calibri" w:hAnsi="Calibri"/>
                <w:i/>
                <w:iCs/>
                <w:color w:val="000000"/>
                <w:sz w:val="20"/>
                <w:szCs w:val="20"/>
              </w:rPr>
              <w:t xml:space="preserve">For the rest, refer to the policy schedule.</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R111,700</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R653.29</w:t>
            </w:r>
          </w:p>
        </w:tc>
      </w:tr>
    </w:tbl>
    <w:p>
      <w:r>
        <w:t xml:space="preserve"/>
      </w:r>
    </w:p>
    <w:p>
      <w:pPr>
        <w:keepNext/>
        <w:spacing w:before="240" w:after="120"/>
      </w:pPr>
      <w:r>
        <w:rPr>
          <w:rFonts w:ascii="Calibri" w:cs="Calibri" w:eastAsia="Calibri" w:hAnsi="Calibri"/>
          <w:b/>
          <w:bCs/>
          <w:color w:val="000000"/>
          <w:sz w:val="24"/>
          <w:szCs w:val="24"/>
        </w:rPr>
        <w:t xml:space="preserve">Motor Vehicle Notes</w:t>
      </w:r>
    </w:p>
    <w:p>
      <w:r>
        <w:rPr>
          <w:rFonts w:ascii="Calibri" w:cs="Calibri" w:eastAsia="Calibri" w:hAnsi="Calibri"/>
          <w:b/>
          <w:bCs/>
          <w:color w:val="000000"/>
          <w:sz w:val="22"/>
          <w:szCs w:val="22"/>
        </w:rPr>
        <w:t xml:space="preserve">GENERAL CONDITIONS AND EXCLUSIONS</w:t>
      </w:r>
    </w:p>
    <w:p>
      <w:pPr>
        <w:pStyle w:val="ListParagraph"/>
        <w:numPr>
          <w:ilvl w:val="0"/>
          <w:numId w:val="1"/>
        </w:numPr>
      </w:pPr>
      <w:r>
        <w:rPr>
          <w:rFonts w:ascii="Calibri" w:cs="Calibri" w:eastAsia="Calibri" w:hAnsi="Calibri"/>
          <w:b w:val="false"/>
          <w:bCs w:val="false"/>
          <w:color w:val="000000"/>
          <w:sz w:val="20"/>
          <w:szCs w:val="20"/>
        </w:rPr>
        <w:t xml:space="preserve">Both vehicles are insured for market value — the insured amount is subject to market fluctuations and should be reviewed regularly using the insurer’s online vehicle calculator.</w:t>
      </w:r>
    </w:p>
    <w:p>
      <w:pPr>
        <w:pStyle w:val="ListParagraph"/>
        <w:numPr>
          <w:ilvl w:val="0"/>
          <w:numId w:val="1"/>
        </w:numPr>
      </w:pPr>
      <w:r>
        <w:rPr>
          <w:rFonts w:ascii="Calibri" w:cs="Calibri" w:eastAsia="Calibri" w:hAnsi="Calibri"/>
          <w:b w:val="false"/>
          <w:bCs w:val="false"/>
          <w:color w:val="000000"/>
          <w:sz w:val="20"/>
          <w:szCs w:val="20"/>
        </w:rPr>
        <w:t xml:space="preserve">Class of use is Private for both vehicles — cover does not extend to regular business use.</w:t>
      </w:r>
    </w:p>
    <w:p>
      <w:pPr>
        <w:pStyle w:val="ListParagraph"/>
        <w:numPr>
          <w:ilvl w:val="0"/>
          <w:numId w:val="1"/>
        </w:numPr>
      </w:pPr>
      <w:r>
        <w:rPr>
          <w:rFonts w:ascii="Calibri" w:cs="Calibri" w:eastAsia="Calibri" w:hAnsi="Calibri"/>
          <w:b w:val="false"/>
          <w:bCs w:val="false"/>
          <w:color w:val="000000"/>
          <w:sz w:val="20"/>
          <w:szCs w:val="20"/>
        </w:rPr>
        <w:t xml:space="preserve">Repatriation costs covered for Angola, Zambia, Kenya, Tanzania, Burundi, Rwanda, Uganda, and the DRC — up to R25,000 per claim.</w:t>
      </w:r>
    </w:p>
    <w:p>
      <w:pPr>
        <w:pStyle w:val="ListParagraph"/>
        <w:numPr>
          <w:ilvl w:val="0"/>
          <w:numId w:val="1"/>
        </w:numPr>
      </w:pPr>
      <w:r>
        <w:rPr>
          <w:rFonts w:ascii="Calibri" w:cs="Calibri" w:eastAsia="Calibri" w:hAnsi="Calibri"/>
          <w:b w:val="false"/>
          <w:bCs w:val="false"/>
          <w:color w:val="000000"/>
          <w:sz w:val="20"/>
          <w:szCs w:val="20"/>
        </w:rPr>
        <w:t xml:space="preserve">Replacement vehicle benefit applies for vehicles not more than 12 months old from first registration and with fewer than 30,000 kilometres travelled.</w:t>
      </w:r>
    </w:p>
    <w:p>
      <w:pPr>
        <w:pStyle w:val="ListParagraph"/>
        <w:numPr>
          <w:ilvl w:val="0"/>
          <w:numId w:val="1"/>
        </w:numPr>
      </w:pPr>
      <w:r>
        <w:rPr>
          <w:rFonts w:ascii="Calibri" w:cs="Calibri" w:eastAsia="Calibri" w:hAnsi="Calibri"/>
          <w:b w:val="false"/>
          <w:bCs w:val="false"/>
          <w:color w:val="000000"/>
          <w:sz w:val="20"/>
          <w:szCs w:val="20"/>
        </w:rPr>
        <w:t xml:space="preserve">Vehicle liability (third party): R5,000,000 per claim.</w:t>
      </w:r>
    </w:p>
    <w:p>
      <w:pPr>
        <w:pStyle w:val="ListParagraph"/>
        <w:numPr>
          <w:ilvl w:val="0"/>
          <w:numId w:val="1"/>
        </w:numPr>
      </w:pPr>
      <w:r>
        <w:rPr>
          <w:rFonts w:ascii="Calibri" w:cs="Calibri" w:eastAsia="Calibri" w:hAnsi="Calibri"/>
          <w:b w:val="false"/>
          <w:bCs w:val="false"/>
          <w:color w:val="000000"/>
          <w:sz w:val="20"/>
          <w:szCs w:val="20"/>
        </w:rPr>
        <w:t xml:space="preserve">Passenger liability (outside RSA): R5,000,000 per claim for both vehicles.</w:t>
      </w:r>
    </w:p>
    <w:p>
      <w:pPr>
        <w:pStyle w:val="ListParagraph"/>
        <w:numPr>
          <w:ilvl w:val="0"/>
          <w:numId w:val="1"/>
        </w:numPr>
      </w:pPr>
      <w:r>
        <w:rPr>
          <w:rFonts w:ascii="Calibri" w:cs="Calibri" w:eastAsia="Calibri" w:hAnsi="Calibri"/>
          <w:b w:val="false"/>
          <w:bCs w:val="false"/>
          <w:color w:val="000000"/>
          <w:sz w:val="20"/>
          <w:szCs w:val="20"/>
        </w:rPr>
        <w:t xml:space="preserve">Cover excludes use for racing, speed trials, driving instruction for reward, or carrying passengers for hire.</w:t>
      </w:r>
    </w:p>
    <w:p>
      <w:pPr>
        <w:pStyle w:val="ListParagraph"/>
        <w:numPr>
          <w:ilvl w:val="0"/>
          <w:numId w:val="1"/>
        </w:numPr>
      </w:pPr>
      <w:r>
        <w:rPr>
          <w:rFonts w:ascii="Calibri" w:cs="Calibri" w:eastAsia="Calibri" w:hAnsi="Calibri"/>
          <w:b w:val="false"/>
          <w:bCs w:val="false"/>
          <w:color w:val="000000"/>
          <w:sz w:val="20"/>
          <w:szCs w:val="20"/>
        </w:rPr>
        <w:t xml:space="preserve">Cover excludes loss or damage while under the influence of alcohol/drugs or while the vehicle is not roadworthy.</w:t>
      </w:r>
    </w:p>
    <w:p>
      <w:pPr>
        <w:pStyle w:val="ListParagraph"/>
        <w:numPr>
          <w:ilvl w:val="0"/>
          <w:numId w:val="1"/>
        </w:numPr>
      </w:pPr>
      <w:r>
        <w:rPr>
          <w:rFonts w:ascii="Calibri" w:cs="Calibri" w:eastAsia="Calibri" w:hAnsi="Calibri"/>
          <w:b w:val="false"/>
          <w:bCs w:val="false"/>
          <w:color w:val="000000"/>
          <w:sz w:val="20"/>
          <w:szCs w:val="20"/>
        </w:rPr>
        <w:t xml:space="preserve">The Nissan NP200 (CA 654-321) is registered in Mrs. Sample's name but the regular driver is Mr. TJ Example — any change in regular driver or vehicle use must be disclosed to the insurer immediately.</w:t>
      </w:r>
    </w:p>
    <w:p>
      <w:r>
        <w:t xml:space="preserve"/>
      </w:r>
    </w:p>
    <w:p>
      <w:pPr>
        <w:keepNext/>
        <w:spacing w:after="240"/>
      </w:pPr>
      <w:r>
        <w:rPr>
          <w:rFonts w:ascii="Calibri" w:cs="Calibri" w:eastAsia="Calibri" w:hAnsi="Calibri"/>
          <w:b/>
          <w:bCs/>
          <w:color w:val="000000"/>
          <w:sz w:val="28"/>
          <w:szCs w:val="28"/>
        </w:rPr>
        <w:t xml:space="preserve">Liability Section</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760"/>
        <w:gridCol w:w="2880"/>
      </w:tblGrid>
      <w:tr>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Sum Insured</w:t>
            </w:r>
          </w:p>
        </w:tc>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Premium</w:t>
            </w:r>
          </w:p>
        </w:tc>
      </w:tr>
      <w:tr>
        <w:tc>
          <w:tcPr>
            <w:tcMar>
              <w:top w:type="dxa" w:w="144"/>
              <w:left w:type="dxa" w:w="144"/>
              <w:bottom w:type="dxa" w:w="144"/>
              <w:right w:type="dxa" w:w="144"/>
            </w:tcMar>
          </w:tcPr>
          <w:p>
            <w:pPr>
              <w:jc w:val="left"/>
            </w:pPr>
            <w:r>
              <w:rPr>
                <w:rFonts w:ascii="Calibri" w:cs="Calibri" w:eastAsia="Calibri" w:hAnsi="Calibri"/>
                <w:b w:val="false"/>
                <w:bCs w:val="false"/>
                <w:color w:val="000000"/>
                <w:sz w:val="20"/>
                <w:szCs w:val="20"/>
              </w:rPr>
              <w:t xml:space="preserve">Liability
R5,000,000</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R5.00</w:t>
            </w:r>
          </w:p>
        </w:tc>
      </w:tr>
    </w:tbl>
    <w:p>
      <w:r>
        <w:t xml:space="preserve"/>
      </w:r>
    </w:p>
    <w:p>
      <w:pPr>
        <w:keepNext/>
        <w:spacing w:before="240" w:after="120"/>
      </w:pPr>
      <w:r>
        <w:rPr>
          <w:rFonts w:ascii="Calibri" w:cs="Calibri" w:eastAsia="Calibri" w:hAnsi="Calibri"/>
          <w:b/>
          <w:bCs/>
          <w:color w:val="000000"/>
          <w:sz w:val="24"/>
          <w:szCs w:val="24"/>
        </w:rPr>
        <w:t xml:space="preserve">Liability Notes</w:t>
      </w:r>
    </w:p>
    <w:p>
      <w:r>
        <w:rPr>
          <w:rFonts w:ascii="Calibri" w:cs="Calibri" w:eastAsia="Calibri" w:hAnsi="Calibri"/>
          <w:b/>
          <w:bCs/>
          <w:color w:val="000000"/>
          <w:sz w:val="22"/>
          <w:szCs w:val="22"/>
        </w:rPr>
        <w:t xml:space="preserve">GENERAL CONDITIONS AND EXCLUSIONS</w:t>
      </w:r>
    </w:p>
    <w:p>
      <w:pPr>
        <w:pStyle w:val="ListParagraph"/>
        <w:numPr>
          <w:ilvl w:val="0"/>
          <w:numId w:val="1"/>
        </w:numPr>
      </w:pPr>
      <w:r>
        <w:rPr>
          <w:rFonts w:ascii="Calibri" w:cs="Calibri" w:eastAsia="Calibri" w:hAnsi="Calibri"/>
          <w:b w:val="false"/>
          <w:bCs w:val="false"/>
          <w:color w:val="000000"/>
          <w:sz w:val="20"/>
          <w:szCs w:val="20"/>
        </w:rPr>
        <w:t xml:space="preserve">Personal legal liability covers accidental death, bodily injury, illness, and accidental physical loss of or damage to property of third parties — worldwide.</w:t>
      </w:r>
    </w:p>
    <w:p>
      <w:pPr>
        <w:pStyle w:val="ListParagraph"/>
        <w:numPr>
          <w:ilvl w:val="0"/>
          <w:numId w:val="1"/>
        </w:numPr>
      </w:pPr>
      <w:r>
        <w:rPr>
          <w:rFonts w:ascii="Calibri" w:cs="Calibri" w:eastAsia="Calibri" w:hAnsi="Calibri"/>
          <w:b w:val="false"/>
          <w:bCs w:val="false"/>
          <w:color w:val="000000"/>
          <w:sz w:val="20"/>
          <w:szCs w:val="20"/>
        </w:rPr>
        <w:t xml:space="preserve">Personal legal liability for wrongful arrest: R100,000 per claim.</w:t>
      </w:r>
    </w:p>
    <w:p>
      <w:pPr>
        <w:pStyle w:val="ListParagraph"/>
        <w:numPr>
          <w:ilvl w:val="0"/>
          <w:numId w:val="1"/>
        </w:numPr>
      </w:pPr>
      <w:r>
        <w:rPr>
          <w:rFonts w:ascii="Calibri" w:cs="Calibri" w:eastAsia="Calibri" w:hAnsi="Calibri"/>
          <w:b w:val="false"/>
          <w:bCs w:val="false"/>
          <w:color w:val="000000"/>
          <w:sz w:val="20"/>
          <w:szCs w:val="20"/>
        </w:rPr>
        <w:t xml:space="preserve">Personal legal liability to domestic employees (claims not covered by COIDA): R5,000,000 per claim.</w:t>
      </w:r>
    </w:p>
    <w:p>
      <w:pPr>
        <w:pStyle w:val="ListParagraph"/>
        <w:numPr>
          <w:ilvl w:val="0"/>
          <w:numId w:val="1"/>
        </w:numPr>
      </w:pPr>
      <w:r>
        <w:rPr>
          <w:rFonts w:ascii="Calibri" w:cs="Calibri" w:eastAsia="Calibri" w:hAnsi="Calibri"/>
          <w:b w:val="false"/>
          <w:bCs w:val="false"/>
          <w:color w:val="000000"/>
          <w:sz w:val="20"/>
          <w:szCs w:val="20"/>
        </w:rPr>
        <w:t xml:space="preserve">Liability does not extend to business, trade, or occupation activities.</w:t>
      </w:r>
    </w:p>
    <w:p>
      <w:pPr>
        <w:pStyle w:val="ListParagraph"/>
        <w:numPr>
          <w:ilvl w:val="0"/>
          <w:numId w:val="1"/>
        </w:numPr>
      </w:pPr>
      <w:r>
        <w:rPr>
          <w:rFonts w:ascii="Calibri" w:cs="Calibri" w:eastAsia="Calibri" w:hAnsi="Calibri"/>
          <w:b w:val="false"/>
          <w:bCs w:val="false"/>
          <w:color w:val="000000"/>
          <w:sz w:val="20"/>
          <w:szCs w:val="20"/>
        </w:rPr>
        <w:t xml:space="preserve">Liability does not extend to ownership or use of vehicles, watercraft, or aircraft.</w:t>
      </w:r>
    </w:p>
    <w:p>
      <w:pPr>
        <w:pStyle w:val="ListParagraph"/>
        <w:numPr>
          <w:ilvl w:val="0"/>
          <w:numId w:val="1"/>
        </w:numPr>
      </w:pPr>
      <w:r>
        <w:rPr>
          <w:rFonts w:ascii="Calibri" w:cs="Calibri" w:eastAsia="Calibri" w:hAnsi="Calibri"/>
          <w:b w:val="false"/>
          <w:bCs w:val="false"/>
          <w:color w:val="000000"/>
          <w:sz w:val="20"/>
          <w:szCs w:val="20"/>
        </w:rPr>
        <w:t xml:space="preserve">Fines, penalties, and punitive damages are excluded.</w:t>
      </w:r>
    </w:p>
    <w:p>
      <w:r>
        <w:t xml:space="preserve"/>
      </w:r>
    </w:p>
    <w:p>
      <w:pPr>
        <w:keepNext/>
      </w:pPr>
      <w:r>
        <w:rPr>
          <w:rFonts w:ascii="Calibri" w:cs="Calibri" w:eastAsia="Calibri" w:hAnsi="Calibri"/>
          <w:b/>
          <w:bCs/>
          <w:color w:val="000000"/>
          <w:sz w:val="24"/>
          <w:szCs w:val="24"/>
        </w:rPr>
        <w:t xml:space="preserve">Value added benefits</w:t>
      </w:r>
    </w:p>
    <w:p>
      <w:pPr>
        <w:pStyle w:val="ListParagraph"/>
        <w:numPr>
          <w:ilvl w:val="0"/>
          <w:numId w:val="1"/>
        </w:numPr>
      </w:pPr>
      <w:r>
        <w:rPr>
          <w:rFonts w:ascii="Calibri" w:cs="Calibri" w:eastAsia="Calibri" w:hAnsi="Calibri"/>
          <w:b w:val="false"/>
          <w:bCs w:val="false"/>
          <w:color w:val="000000"/>
          <w:sz w:val="20"/>
          <w:szCs w:val="20"/>
        </w:rPr>
        <w:t xml:space="preserve">SASRIA cover included for property (buildings and contents) — R42.43 per month</w:t>
      </w:r>
    </w:p>
    <w:p>
      <w:pPr>
        <w:pStyle w:val="ListParagraph"/>
        <w:numPr>
          <w:ilvl w:val="0"/>
          <w:numId w:val="1"/>
        </w:numPr>
      </w:pPr>
      <w:r>
        <w:rPr>
          <w:rFonts w:ascii="Calibri" w:cs="Calibri" w:eastAsia="Calibri" w:hAnsi="Calibri"/>
          <w:b w:val="false"/>
          <w:bCs w:val="false"/>
          <w:color w:val="000000"/>
          <w:sz w:val="20"/>
          <w:szCs w:val="20"/>
        </w:rPr>
        <w:t xml:space="preserve">SASRIA cover included for vehicles — R5.55 per month</w:t>
      </w:r>
    </w:p>
    <w:p>
      <w:pPr>
        <w:pStyle w:val="ListParagraph"/>
        <w:numPr>
          <w:ilvl w:val="0"/>
          <w:numId w:val="1"/>
        </w:numPr>
      </w:pPr>
      <w:r>
        <w:rPr>
          <w:rFonts w:ascii="Calibri" w:cs="Calibri" w:eastAsia="Calibri" w:hAnsi="Calibri"/>
          <w:b w:val="false"/>
          <w:bCs w:val="false"/>
          <w:color w:val="000000"/>
          <w:sz w:val="20"/>
          <w:szCs w:val="20"/>
        </w:rPr>
        <w:t xml:space="preserve">Insurer A claim-free cashback — 10% of actual premiums paid after a claim-free cycle commencing 1 July 2026</w:t>
      </w:r>
    </w:p>
    <w:p>
      <w:pPr>
        <w:pStyle w:val="ListParagraph"/>
        <w:numPr>
          <w:ilvl w:val="0"/>
          <w:numId w:val="1"/>
        </w:numPr>
      </w:pPr>
      <w:r>
        <w:rPr>
          <w:rFonts w:ascii="Calibri" w:cs="Calibri" w:eastAsia="Calibri" w:hAnsi="Calibri"/>
          <w:b w:val="false"/>
          <w:bCs w:val="false"/>
          <w:color w:val="000000"/>
          <w:sz w:val="20"/>
          <w:szCs w:val="20"/>
        </w:rPr>
        <w:t xml:space="preserve">Assistance services — Road, Home, Home Drive, Route, Medical, and Legal Assistance (number on your policy schedule)</w:t>
      </w:r>
    </w:p>
    <w:p>
      <w:pPr>
        <w:pStyle w:val="ListParagraph"/>
        <w:numPr>
          <w:ilvl w:val="0"/>
          <w:numId w:val="1"/>
        </w:numPr>
      </w:pPr>
      <w:r>
        <w:rPr>
          <w:rFonts w:ascii="Calibri" w:cs="Calibri" w:eastAsia="Calibri" w:hAnsi="Calibri"/>
          <w:b w:val="false"/>
          <w:bCs w:val="false"/>
          <w:color w:val="000000"/>
          <w:sz w:val="20"/>
          <w:szCs w:val="20"/>
        </w:rPr>
        <w:t xml:space="preserve">Hole-in-one benefit: R2,000</w:t>
      </w:r>
    </w:p>
    <w:p>
      <w:pPr>
        <w:pStyle w:val="ListParagraph"/>
        <w:numPr>
          <w:ilvl w:val="0"/>
          <w:numId w:val="1"/>
        </w:numPr>
      </w:pPr>
      <w:r>
        <w:rPr>
          <w:rFonts w:ascii="Calibri" w:cs="Calibri" w:eastAsia="Calibri" w:hAnsi="Calibri"/>
          <w:b w:val="false"/>
          <w:bCs w:val="false"/>
          <w:color w:val="000000"/>
          <w:sz w:val="20"/>
          <w:szCs w:val="20"/>
        </w:rPr>
        <w:t xml:space="preserve">Full house (bowls) benefit: R2,000</w:t>
      </w:r>
    </w:p>
    <w:p>
      <w:pPr>
        <w:pStyle w:val="ListParagraph"/>
        <w:numPr>
          <w:ilvl w:val="0"/>
          <w:numId w:val="1"/>
        </w:numPr>
      </w:pPr>
      <w:r>
        <w:rPr>
          <w:rFonts w:ascii="Calibri" w:cs="Calibri" w:eastAsia="Calibri" w:hAnsi="Calibri"/>
          <w:b w:val="false"/>
          <w:bCs w:val="false"/>
          <w:color w:val="000000"/>
          <w:sz w:val="20"/>
          <w:szCs w:val="20"/>
        </w:rPr>
        <w:t xml:space="preserve">South African sporting record benefit: R7,500</w:t>
      </w:r>
    </w:p>
    <w:p>
      <w:pPr>
        <w:pStyle w:val="ListParagraph"/>
        <w:numPr>
          <w:ilvl w:val="0"/>
          <w:numId w:val="1"/>
        </w:numPr>
      </w:pPr>
      <w:r>
        <w:rPr>
          <w:rFonts w:ascii="Calibri" w:cs="Calibri" w:eastAsia="Calibri" w:hAnsi="Calibri"/>
          <w:b w:val="false"/>
          <w:bCs w:val="false"/>
          <w:color w:val="000000"/>
          <w:sz w:val="20"/>
          <w:szCs w:val="20"/>
        </w:rPr>
        <w:t xml:space="preserve">Veterinary expenses (road accident): R30,000</w:t>
      </w:r>
    </w:p>
    <w:p>
      <w:pPr>
        <w:pStyle w:val="ListParagraph"/>
        <w:numPr>
          <w:ilvl w:val="0"/>
          <w:numId w:val="1"/>
        </w:numPr>
      </w:pPr>
      <w:r>
        <w:rPr>
          <w:rFonts w:ascii="Calibri" w:cs="Calibri" w:eastAsia="Calibri" w:hAnsi="Calibri"/>
          <w:b w:val="false"/>
          <w:bCs w:val="false"/>
          <w:color w:val="000000"/>
          <w:sz w:val="20"/>
          <w:szCs w:val="20"/>
        </w:rPr>
        <w:t xml:space="preserve">Trauma treatment: R5,000 (property section) and R5,000 (vehicle section)</w:t>
      </w:r>
    </w:p>
    <w:p>
      <w:pPr>
        <w:pStyle w:val="ListParagraph"/>
        <w:numPr>
          <w:ilvl w:val="0"/>
          <w:numId w:val="1"/>
        </w:numPr>
      </w:pPr>
      <w:r>
        <w:rPr>
          <w:rFonts w:ascii="Calibri" w:cs="Calibri" w:eastAsia="Calibri" w:hAnsi="Calibri"/>
          <w:b w:val="false"/>
          <w:bCs w:val="false"/>
          <w:color w:val="000000"/>
          <w:sz w:val="20"/>
          <w:szCs w:val="20"/>
        </w:rPr>
        <w:t xml:space="preserve">Death benefit (fire, theft, burglary in residence): R10,000</w:t>
      </w:r>
    </w:p>
    <w:p>
      <w:pPr>
        <w:pStyle w:val="ListParagraph"/>
        <w:numPr>
          <w:ilvl w:val="0"/>
          <w:numId w:val="1"/>
        </w:numPr>
      </w:pPr>
      <w:r>
        <w:rPr>
          <w:rFonts w:ascii="Calibri" w:cs="Calibri" w:eastAsia="Calibri" w:hAnsi="Calibri"/>
          <w:b w:val="false"/>
          <w:bCs w:val="false"/>
          <w:color w:val="000000"/>
          <w:sz w:val="20"/>
          <w:szCs w:val="20"/>
        </w:rPr>
        <w:t xml:space="preserve">Property keys: R2,500 per claim, worldwide</w:t>
      </w:r>
    </w:p>
    <w:p>
      <w:r>
        <w:t xml:space="preserve"/>
      </w:r>
    </w:p>
    <w:p>
      <w:pPr>
        <w:keepNext/>
        <w:spacing w:after="240"/>
        <w:jc w:val="center"/>
      </w:pPr>
      <w:r>
        <w:rPr>
          <w:rFonts w:ascii="Calibri" w:cs="Calibri" w:eastAsia="Calibri" w:hAnsi="Calibri"/>
          <w:b/>
          <w:bCs/>
          <w:color w:val="000000"/>
          <w:sz w:val="28"/>
          <w:szCs w:val="28"/>
        </w:rPr>
        <w:t xml:space="preserve">Important Information Highlighted to Client</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880"/>
        <w:gridCol w:w="5760"/>
      </w:tblGrid>
      <w:tr>
        <w:tc>
          <w:tcPr>
            <w:shd w:fill="D9D9D9" w:val="clear"/>
            <w:tcMar>
              <w:top w:type="dxa" w:w="144"/>
              <w:left w:type="dxa" w:w="144"/>
              <w:bottom w:type="dxa" w:w="144"/>
              <w:right w:type="dxa" w:w="144"/>
            </w:tcMar>
          </w:tcPr>
          <w:p>
            <w:r>
              <w:rPr>
                <w:rFonts w:ascii="Calibri" w:cs="Calibri" w:eastAsia="Calibri" w:hAnsi="Calibri"/>
                <w:b/>
                <w:bCs/>
                <w:color w:val="000000"/>
                <w:sz w:val="20"/>
                <w:szCs w:val="20"/>
              </w:rPr>
              <w:t xml:space="preserve">Extensions</w:t>
            </w:r>
          </w:p>
        </w:tc>
        <w:tc>
          <w:tcPr>
            <w:tcMar>
              <w:top w:type="dxa" w:w="144"/>
              <w:left w:type="dxa" w:w="144"/>
              <w:bottom w:type="dxa" w:w="144"/>
              <w:right w:type="dxa" w:w="144"/>
            </w:tcMar>
          </w:tcPr>
          <w:p>
            <w:pPr>
              <w:pStyle w:val="ListParagraph"/>
              <w:numPr>
                <w:ilvl w:val="0"/>
                <w:numId w:val="1"/>
              </w:numPr>
            </w:pPr>
            <w:r>
              <w:rPr>
                <w:rFonts w:ascii="Calibri" w:cs="Calibri" w:eastAsia="Calibri" w:hAnsi="Calibri"/>
                <w:b w:val="false"/>
                <w:bCs w:val="false"/>
                <w:color w:val="000000"/>
                <w:sz w:val="20"/>
                <w:szCs w:val="20"/>
              </w:rPr>
              <w:t xml:space="preserve">SASRIA cover — protects against riot, strike, civil commotion, public disorder, looting, and terrorism (property and vehicles)</w:t>
            </w:r>
          </w:p>
          <w:p>
            <w:pPr>
              <w:pStyle w:val="ListParagraph"/>
              <w:numPr>
                <w:ilvl w:val="0"/>
                <w:numId w:val="1"/>
              </w:numPr>
            </w:pPr>
            <w:r>
              <w:rPr>
                <w:rFonts w:ascii="Calibri" w:cs="Calibri" w:eastAsia="Calibri" w:hAnsi="Calibri"/>
                <w:b w:val="false"/>
                <w:bCs w:val="false"/>
                <w:color w:val="000000"/>
                <w:sz w:val="20"/>
                <w:szCs w:val="20"/>
              </w:rPr>
              <w:t xml:space="preserve">Power surge cover — buildings (R5,000 per claim, excess R2,500) and contents (R5,000 per claim, excess R2,500)</w:t>
            </w:r>
          </w:p>
          <w:p>
            <w:pPr>
              <w:pStyle w:val="ListParagraph"/>
              <w:numPr>
                <w:ilvl w:val="0"/>
                <w:numId w:val="1"/>
              </w:numPr>
            </w:pPr>
            <w:r>
              <w:rPr>
                <w:rFonts w:ascii="Calibri" w:cs="Calibri" w:eastAsia="Calibri" w:hAnsi="Calibri"/>
                <w:b w:val="false"/>
                <w:bCs w:val="false"/>
                <w:color w:val="000000"/>
                <w:sz w:val="20"/>
                <w:szCs w:val="20"/>
              </w:rPr>
              <w:t xml:space="preserve">Subsidence and landslip (limited cover) — buildings and contents, subject to specific exclusions</w:t>
            </w:r>
          </w:p>
          <w:p>
            <w:pPr>
              <w:pStyle w:val="ListParagraph"/>
              <w:numPr>
                <w:ilvl w:val="0"/>
                <w:numId w:val="1"/>
              </w:numPr>
            </w:pPr>
            <w:r>
              <w:rPr>
                <w:rFonts w:ascii="Calibri" w:cs="Calibri" w:eastAsia="Calibri" w:hAnsi="Calibri"/>
                <w:b w:val="false"/>
                <w:bCs w:val="false"/>
                <w:color w:val="000000"/>
                <w:sz w:val="20"/>
                <w:szCs w:val="20"/>
              </w:rPr>
              <w:t xml:space="preserve">Tenant's liability — up to R5,000,000 per claim for damage to leased premises</w:t>
            </w:r>
          </w:p>
          <w:p>
            <w:pPr>
              <w:pStyle w:val="ListParagraph"/>
              <w:numPr>
                <w:ilvl w:val="0"/>
                <w:numId w:val="1"/>
              </w:numPr>
            </w:pPr>
            <w:r>
              <w:rPr>
                <w:rFonts w:ascii="Calibri" w:cs="Calibri" w:eastAsia="Calibri" w:hAnsi="Calibri"/>
                <w:b w:val="false"/>
                <w:bCs w:val="false"/>
                <w:color w:val="000000"/>
                <w:sz w:val="20"/>
                <w:szCs w:val="20"/>
              </w:rPr>
              <w:t xml:space="preserve">Damage by wild baboons or wild monkeys — buildings R139,020 per claim; contents R23,587 per claim</w:t>
            </w:r>
          </w:p>
          <w:p>
            <w:pPr>
              <w:pStyle w:val="ListParagraph"/>
              <w:numPr>
                <w:ilvl w:val="0"/>
                <w:numId w:val="1"/>
              </w:numPr>
            </w:pPr>
            <w:r>
              <w:rPr>
                <w:rFonts w:ascii="Calibri" w:cs="Calibri" w:eastAsia="Calibri" w:hAnsi="Calibri"/>
                <w:b w:val="false"/>
                <w:bCs w:val="false"/>
                <w:color w:val="000000"/>
                <w:sz w:val="20"/>
                <w:szCs w:val="20"/>
              </w:rPr>
              <w:t xml:space="preserve">Alternative accommodation — up to R1,737,747 for up to 12 months if the dwelling is uninhabitable following an insured event</w:t>
            </w:r>
          </w:p>
          <w:p>
            <w:pPr>
              <w:pStyle w:val="ListParagraph"/>
              <w:numPr>
                <w:ilvl w:val="0"/>
                <w:numId w:val="1"/>
              </w:numPr>
            </w:pPr>
            <w:r>
              <w:rPr>
                <w:rFonts w:ascii="Calibri" w:cs="Calibri" w:eastAsia="Calibri" w:hAnsi="Calibri"/>
                <w:b w:val="false"/>
                <w:bCs w:val="false"/>
                <w:color w:val="000000"/>
                <w:sz w:val="20"/>
                <w:szCs w:val="20"/>
              </w:rPr>
              <w:t xml:space="preserve">Personal legal liability — worldwide cover up to R5,000,000, including domestic employee liability and wrongful arrest</w:t>
            </w:r>
          </w:p>
        </w:tc>
      </w:tr>
      <w:tr>
        <w:tc>
          <w:tcPr>
            <w:shd w:fill="D9D9D9" w:val="clear"/>
            <w:tcMar>
              <w:top w:type="dxa" w:w="144"/>
              <w:left w:type="dxa" w:w="144"/>
              <w:bottom w:type="dxa" w:w="144"/>
              <w:right w:type="dxa" w:w="144"/>
            </w:tcMar>
          </w:tcPr>
          <w:p>
            <w:r>
              <w:rPr>
                <w:rFonts w:ascii="Calibri" w:cs="Calibri" w:eastAsia="Calibri" w:hAnsi="Calibri"/>
                <w:b/>
                <w:bCs/>
                <w:color w:val="000000"/>
                <w:sz w:val="20"/>
                <w:szCs w:val="20"/>
              </w:rPr>
              <w:t xml:space="preserve">Clauses</w:t>
            </w:r>
          </w:p>
        </w:tc>
        <w:tc>
          <w:tcPr>
            <w:tcMar>
              <w:top w:type="dxa" w:w="144"/>
              <w:left w:type="dxa" w:w="144"/>
              <w:bottom w:type="dxa" w:w="144"/>
              <w:right w:type="dxa" w:w="144"/>
            </w:tcMar>
          </w:tcPr>
          <w:p>
            <w:pPr>
              <w:pStyle w:val="ListParagraph"/>
              <w:numPr>
                <w:ilvl w:val="0"/>
                <w:numId w:val="1"/>
              </w:numPr>
            </w:pPr>
            <w:r>
              <w:rPr>
                <w:rFonts w:ascii="Calibri" w:cs="Calibri" w:eastAsia="Calibri" w:hAnsi="Calibri"/>
                <w:b w:val="false"/>
                <w:bCs w:val="false"/>
                <w:color w:val="000000"/>
                <w:sz w:val="20"/>
                <w:szCs w:val="20"/>
              </w:rPr>
              <w:t xml:space="preserve">Average clause (buildings) — if the buildings sum insured (R6,950,987) is less than the true replacement cost at time of claim, compensation is reduced proportionally; replacement cost should be verified annually using the Insurer A building value calculator</w:t>
            </w:r>
          </w:p>
          <w:p>
            <w:pPr>
              <w:pStyle w:val="ListParagraph"/>
              <w:numPr>
                <w:ilvl w:val="0"/>
                <w:numId w:val="1"/>
              </w:numPr>
            </w:pPr>
            <w:r>
              <w:rPr>
                <w:rFonts w:ascii="Calibri" w:cs="Calibri" w:eastAsia="Calibri" w:hAnsi="Calibri"/>
                <w:b w:val="false"/>
                <w:bCs w:val="false"/>
                <w:color w:val="000000"/>
                <w:sz w:val="20"/>
                <w:szCs w:val="20"/>
              </w:rPr>
              <w:t xml:space="preserve">Average clause (contents) — if the contents sum insured (R1,179,371) is less than the true replacement cost at time of claim, compensation is reduced proportionally; a home contents inventory should be maintained and updated annually</w:t>
            </w:r>
          </w:p>
          <w:p>
            <w:pPr>
              <w:pStyle w:val="ListParagraph"/>
              <w:numPr>
                <w:ilvl w:val="0"/>
                <w:numId w:val="1"/>
              </w:numPr>
            </w:pPr>
            <w:r>
              <w:rPr>
                <w:rFonts w:ascii="Calibri" w:cs="Calibri" w:eastAsia="Calibri" w:hAnsi="Calibri"/>
                <w:b w:val="false"/>
                <w:bCs w:val="false"/>
                <w:color w:val="000000"/>
                <w:sz w:val="20"/>
                <w:szCs w:val="20"/>
              </w:rPr>
              <w:t xml:space="preserve">Valuation certificate condition — a pre-loss valuation certificate is required for each valuable article valued at R25,000 or more; non-compliance limits compensation to R25,000 per item</w:t>
            </w:r>
          </w:p>
          <w:p>
            <w:pPr>
              <w:pStyle w:val="ListParagraph"/>
              <w:numPr>
                <w:ilvl w:val="0"/>
                <w:numId w:val="1"/>
              </w:numPr>
            </w:pPr>
            <w:r>
              <w:rPr>
                <w:rFonts w:ascii="Calibri" w:cs="Calibri" w:eastAsia="Calibri" w:hAnsi="Calibri"/>
                <w:b w:val="false"/>
                <w:bCs w:val="false"/>
                <w:color w:val="000000"/>
                <w:sz w:val="20"/>
                <w:szCs w:val="20"/>
              </w:rPr>
              <w:t xml:space="preserve">Linked alarm with armed response (mandatory — contents) — the alarm must be in working order, not bypassed, and set whenever the property is left unattended; cancellation of the monitoring service requires insurer consent; non-compliance voids theft/burglary cover</w:t>
            </w:r>
          </w:p>
          <w:p>
            <w:pPr>
              <w:pStyle w:val="ListParagraph"/>
              <w:numPr>
                <w:ilvl w:val="0"/>
                <w:numId w:val="1"/>
              </w:numPr>
            </w:pPr>
            <w:r>
              <w:rPr>
                <w:rFonts w:ascii="Calibri" w:cs="Calibri" w:eastAsia="Calibri" w:hAnsi="Calibri"/>
                <w:b w:val="false"/>
                <w:bCs w:val="false"/>
                <w:color w:val="000000"/>
                <w:sz w:val="20"/>
                <w:szCs w:val="20"/>
              </w:rPr>
              <w:t xml:space="preserve">Security gates on all exterior doors (mandatory — contents) — gates must be locked when the property is unattended and may not be removed without insurer consent; non-compliance voids theft/burglary cover</w:t>
            </w:r>
          </w:p>
          <w:p>
            <w:pPr>
              <w:pStyle w:val="ListParagraph"/>
              <w:numPr>
                <w:ilvl w:val="0"/>
                <w:numId w:val="1"/>
              </w:numPr>
            </w:pPr>
            <w:r>
              <w:rPr>
                <w:rFonts w:ascii="Calibri" w:cs="Calibri" w:eastAsia="Calibri" w:hAnsi="Calibri"/>
                <w:b w:val="false"/>
                <w:bCs w:val="false"/>
                <w:color w:val="000000"/>
                <w:sz w:val="20"/>
                <w:szCs w:val="20"/>
              </w:rPr>
              <w:t xml:space="preserve">Burglar bars on all opening windows (mandatory — contents) — may not be removed without insurer consent; non-compliance voids theft/burglary cover</w:t>
            </w:r>
          </w:p>
          <w:p>
            <w:pPr>
              <w:pStyle w:val="ListParagraph"/>
              <w:numPr>
                <w:ilvl w:val="0"/>
                <w:numId w:val="1"/>
              </w:numPr>
            </w:pPr>
            <w:r>
              <w:rPr>
                <w:rFonts w:ascii="Calibri" w:cs="Calibri" w:eastAsia="Calibri" w:hAnsi="Calibri"/>
                <w:b w:val="false"/>
                <w:bCs w:val="false"/>
                <w:color w:val="000000"/>
                <w:sz w:val="20"/>
                <w:szCs w:val="20"/>
              </w:rPr>
              <w:t xml:space="preserve">Loss of water exclusion — excluded under both buildings and contents if the private residence is unoccupied for more than 60 consecutive days</w:t>
            </w:r>
          </w:p>
          <w:p>
            <w:pPr>
              <w:pStyle w:val="ListParagraph"/>
              <w:numPr>
                <w:ilvl w:val="0"/>
                <w:numId w:val="1"/>
              </w:numPr>
            </w:pPr>
            <w:r>
              <w:rPr>
                <w:rFonts w:ascii="Calibri" w:cs="Calibri" w:eastAsia="Calibri" w:hAnsi="Calibri"/>
                <w:b w:val="false"/>
                <w:bCs w:val="false"/>
                <w:color w:val="000000"/>
                <w:sz w:val="20"/>
                <w:szCs w:val="20"/>
              </w:rPr>
              <w:t xml:space="preserve">Material disclosure obligation — any change in risk must be notified immediately; non-disclosure may result in claim rejection or policy cancellation</w:t>
            </w:r>
          </w:p>
          <w:p>
            <w:pPr>
              <w:pStyle w:val="ListParagraph"/>
              <w:numPr>
                <w:ilvl w:val="0"/>
                <w:numId w:val="1"/>
              </w:numPr>
            </w:pPr>
            <w:r>
              <w:rPr>
                <w:rFonts w:ascii="Calibri" w:cs="Calibri" w:eastAsia="Calibri" w:hAnsi="Calibri"/>
                <w:b w:val="false"/>
                <w:bCs w:val="false"/>
                <w:color w:val="000000"/>
                <w:sz w:val="20"/>
                <w:szCs w:val="20"/>
              </w:rPr>
              <w:t xml:space="preserve">New Sanctions exclusion — no cover, claim payment, or benefit will be provided where doing so would expose the insurer or its reinsurers to applicable sanctions under UN, EU, UK, US, or South African law</w:t>
            </w:r>
          </w:p>
        </w:tc>
      </w:tr>
      <w:tr>
        <w:tc>
          <w:tcPr>
            <w:shd w:fill="D9D9D9" w:val="clear"/>
            <w:tcMar>
              <w:top w:type="dxa" w:w="144"/>
              <w:left w:type="dxa" w:w="144"/>
              <w:bottom w:type="dxa" w:w="144"/>
              <w:right w:type="dxa" w:w="144"/>
            </w:tcMar>
          </w:tcPr>
          <w:p>
            <w:r>
              <w:rPr>
                <w:rFonts w:ascii="Calibri" w:cs="Calibri" w:eastAsia="Calibri" w:hAnsi="Calibri"/>
                <w:b/>
                <w:bCs/>
                <w:color w:val="000000"/>
                <w:sz w:val="20"/>
                <w:szCs w:val="20"/>
              </w:rPr>
              <w:t xml:space="preserve">Excess Payments</w:t>
            </w:r>
          </w:p>
        </w:tc>
        <w:tc>
          <w:tcPr>
            <w:tcMar>
              <w:top w:type="dxa" w:w="144"/>
              <w:left w:type="dxa" w:w="144"/>
              <w:bottom w:type="dxa" w:w="144"/>
              <w:right w:type="dxa" w:w="144"/>
            </w:tcMar>
          </w:tcPr>
          <w:p>
            <w:pPr>
              <w:pStyle w:val="ListParagraph"/>
              <w:numPr>
                <w:ilvl w:val="0"/>
                <w:numId w:val="1"/>
              </w:numPr>
            </w:pPr>
            <w:r>
              <w:rPr>
                <w:rFonts w:ascii="Calibri" w:cs="Calibri" w:eastAsia="Calibri" w:hAnsi="Calibri"/>
                <w:b w:val="false"/>
                <w:bCs w:val="false"/>
                <w:color w:val="000000"/>
                <w:sz w:val="20"/>
                <w:szCs w:val="20"/>
              </w:rPr>
              <w:t xml:space="preserve">Buildings — standard excess: R1,000 per claim (all insured perils including flood, fire, burglary, storm, hail, earthquake, sea surge)</w:t>
            </w:r>
          </w:p>
          <w:p>
            <w:pPr>
              <w:pStyle w:val="ListParagraph"/>
              <w:numPr>
                <w:ilvl w:val="0"/>
                <w:numId w:val="1"/>
              </w:numPr>
            </w:pPr>
            <w:r>
              <w:rPr>
                <w:rFonts w:ascii="Calibri" w:cs="Calibri" w:eastAsia="Calibri" w:hAnsi="Calibri"/>
                <w:b w:val="false"/>
                <w:bCs w:val="false"/>
                <w:color w:val="000000"/>
                <w:sz w:val="20"/>
                <w:szCs w:val="20"/>
              </w:rPr>
              <w:t xml:space="preserve">Contents — standard excess: R0 per claim for most perils</w:t>
            </w:r>
          </w:p>
          <w:p>
            <w:pPr>
              <w:pStyle w:val="ListParagraph"/>
              <w:numPr>
                <w:ilvl w:val="0"/>
                <w:numId w:val="1"/>
              </w:numPr>
            </w:pPr>
            <w:r>
              <w:rPr>
                <w:rFonts w:ascii="Calibri" w:cs="Calibri" w:eastAsia="Calibri" w:hAnsi="Calibri"/>
                <w:b w:val="false"/>
                <w:bCs w:val="false"/>
                <w:color w:val="000000"/>
                <w:sz w:val="20"/>
                <w:szCs w:val="20"/>
              </w:rPr>
              <w:t xml:space="preserve">Contents — power surge excess: R2,500 per claim</w:t>
            </w:r>
          </w:p>
          <w:p>
            <w:pPr>
              <w:pStyle w:val="ListParagraph"/>
              <w:numPr>
                <w:ilvl w:val="0"/>
                <w:numId w:val="1"/>
              </w:numPr>
            </w:pPr>
            <w:r>
              <w:rPr>
                <w:rFonts w:ascii="Calibri" w:cs="Calibri" w:eastAsia="Calibri" w:hAnsi="Calibri"/>
                <w:b w:val="false"/>
                <w:bCs w:val="false"/>
                <w:color w:val="000000"/>
                <w:sz w:val="20"/>
                <w:szCs w:val="20"/>
              </w:rPr>
              <w:t xml:space="preserve">Buildings — power surge excess: R2,500 per claim</w:t>
            </w:r>
          </w:p>
          <w:p>
            <w:pPr>
              <w:pStyle w:val="ListParagraph"/>
              <w:numPr>
                <w:ilvl w:val="0"/>
                <w:numId w:val="1"/>
              </w:numPr>
            </w:pPr>
            <w:r>
              <w:rPr>
                <w:rFonts w:ascii="Calibri" w:cs="Calibri" w:eastAsia="Calibri" w:hAnsi="Calibri"/>
                <w:b w:val="false"/>
                <w:bCs w:val="false"/>
                <w:color w:val="000000"/>
                <w:sz w:val="20"/>
                <w:szCs w:val="20"/>
              </w:rPr>
              <w:t xml:space="preserve">Motor (VW Polo Vivo CA 123-456) — standard excess: R0; additional excess if driver under 25: R1,000; licence held less than 2 years: R2,000; unauthorised driver: R5,000</w:t>
            </w:r>
          </w:p>
          <w:p>
            <w:pPr>
              <w:pStyle w:val="ListParagraph"/>
              <w:numPr>
                <w:ilvl w:val="0"/>
                <w:numId w:val="1"/>
              </w:numPr>
            </w:pPr>
            <w:r>
              <w:rPr>
                <w:rFonts w:ascii="Calibri" w:cs="Calibri" w:eastAsia="Calibri" w:hAnsi="Calibri"/>
                <w:b w:val="false"/>
                <w:bCs w:val="false"/>
                <w:color w:val="000000"/>
                <w:sz w:val="20"/>
                <w:szCs w:val="20"/>
              </w:rPr>
              <w:t xml:space="preserve">Motor (Nissan NP200 CA 654-321) — standard excess: R0; additional excess if driver under 25: R1,000; licence held less than 2 years: R2,000; unauthorised driver: R5,000</w:t>
            </w:r>
          </w:p>
          <w:p>
            <w:pPr>
              <w:pStyle w:val="ListParagraph"/>
              <w:numPr>
                <w:ilvl w:val="0"/>
                <w:numId w:val="1"/>
              </w:numPr>
            </w:pPr>
            <w:r>
              <w:rPr>
                <w:rFonts w:ascii="Calibri" w:cs="Calibri" w:eastAsia="Calibri" w:hAnsi="Calibri"/>
                <w:b w:val="false"/>
                <w:bCs w:val="false"/>
                <w:color w:val="000000"/>
                <w:sz w:val="20"/>
                <w:szCs w:val="20"/>
              </w:rPr>
              <w:t xml:space="preserve">All risks — iPhone 17 Pro Max: R0 excess</w:t>
            </w:r>
          </w:p>
          <w:p>
            <w:pPr>
              <w:pStyle w:val="ListParagraph"/>
              <w:numPr>
                <w:ilvl w:val="0"/>
                <w:numId w:val="1"/>
              </w:numPr>
            </w:pPr>
            <w:r>
              <w:rPr>
                <w:rFonts w:ascii="Calibri" w:cs="Calibri" w:eastAsia="Calibri" w:hAnsi="Calibri"/>
                <w:b w:val="false"/>
                <w:bCs w:val="false"/>
                <w:color w:val="000000"/>
                <w:sz w:val="20"/>
                <w:szCs w:val="20"/>
              </w:rPr>
              <w:t xml:space="preserve">All risks — clothing and personal effects: R0 excess</w:t>
            </w:r>
          </w:p>
          <w:p>
            <w:pPr>
              <w:pStyle w:val="ListParagraph"/>
              <w:numPr>
                <w:ilvl w:val="0"/>
                <w:numId w:val="1"/>
              </w:numPr>
            </w:pPr>
            <w:r>
              <w:rPr>
                <w:rFonts w:ascii="Calibri" w:cs="Calibri" w:eastAsia="Calibri" w:hAnsi="Calibri"/>
                <w:b w:val="false"/>
                <w:bCs w:val="false"/>
                <w:color w:val="000000"/>
                <w:sz w:val="20"/>
                <w:szCs w:val="20"/>
              </w:rPr>
              <w:t xml:space="preserve">Personal legal liability: R0 excess</w:t>
            </w:r>
          </w:p>
        </w:tc>
      </w:tr>
      <w:tr>
        <w:tc>
          <w:tcPr>
            <w:shd w:fill="D9D9D9" w:val="clear"/>
            <w:tcMar>
              <w:top w:type="dxa" w:w="144"/>
              <w:left w:type="dxa" w:w="144"/>
              <w:bottom w:type="dxa" w:w="144"/>
              <w:right w:type="dxa" w:w="144"/>
            </w:tcMar>
          </w:tcPr>
          <w:p>
            <w:r>
              <w:rPr>
                <w:rFonts w:ascii="Calibri" w:cs="Calibri" w:eastAsia="Calibri" w:hAnsi="Calibri"/>
                <w:b/>
                <w:bCs/>
                <w:color w:val="000000"/>
                <w:sz w:val="20"/>
                <w:szCs w:val="20"/>
              </w:rPr>
              <w:t xml:space="preserve">Other Important Information</w:t>
            </w:r>
          </w:p>
        </w:tc>
        <w:tc>
          <w:tcPr>
            <w:tcMar>
              <w:top w:type="dxa" w:w="144"/>
              <w:left w:type="dxa" w:w="144"/>
              <w:bottom w:type="dxa" w:w="144"/>
              <w:right w:type="dxa" w:w="144"/>
            </w:tcMar>
          </w:tcPr>
          <w:p>
            <w:pPr>
              <w:pStyle w:val="ListParagraph"/>
              <w:numPr>
                <w:ilvl w:val="0"/>
                <w:numId w:val="1"/>
              </w:numPr>
            </w:pPr>
            <w:r>
              <w:rPr>
                <w:rFonts w:ascii="Calibri" w:cs="Calibri" w:eastAsia="Calibri" w:hAnsi="Calibri"/>
                <w:b w:val="false"/>
                <w:bCs w:val="false"/>
                <w:color w:val="000000"/>
                <w:sz w:val="20"/>
                <w:szCs w:val="20"/>
              </w:rPr>
              <w:t xml:space="preserve">Cooling-off period: 14 days from receipt of the renewed policy contract — cancellation triggers a premium refund less cost of risk cover provided, processed within 31 days.</w:t>
            </w:r>
          </w:p>
          <w:p>
            <w:pPr>
              <w:pStyle w:val="ListParagraph"/>
              <w:numPr>
                <w:ilvl w:val="0"/>
                <w:numId w:val="1"/>
              </w:numPr>
            </w:pPr>
            <w:r>
              <w:rPr>
                <w:rFonts w:ascii="Calibri" w:cs="Calibri" w:eastAsia="Calibri" w:hAnsi="Calibri"/>
                <w:b w:val="false"/>
                <w:bCs w:val="false"/>
                <w:color w:val="000000"/>
                <w:sz w:val="20"/>
                <w:szCs w:val="20"/>
              </w:rPr>
              <w:t xml:space="preserve">Claims reporting: Notify Insurer A as soon as possible after an insured event and provide full details within 30 days. Police report required within 48 hours for theft, burglary, or criminal acts. SOS and claims helpline: on your policy schedule (24/7).</w:t>
            </w:r>
          </w:p>
          <w:p>
            <w:pPr>
              <w:pStyle w:val="ListParagraph"/>
              <w:numPr>
                <w:ilvl w:val="0"/>
                <w:numId w:val="1"/>
              </w:numPr>
            </w:pPr>
            <w:r>
              <w:rPr>
                <w:rFonts w:ascii="Calibri" w:cs="Calibri" w:eastAsia="Calibri" w:hAnsi="Calibri"/>
                <w:b w:val="false"/>
                <w:bCs w:val="false"/>
                <w:color w:val="000000"/>
                <w:sz w:val="20"/>
                <w:szCs w:val="20"/>
              </w:rPr>
              <w:t xml:space="preserve">Inflation protection: Both buildings and contents sum insured values are adjusted by 6% annually, applied monthly during the renewal period — no additional premium is charged during the term.</w:t>
            </w:r>
          </w:p>
          <w:p>
            <w:pPr>
              <w:pStyle w:val="ListParagraph"/>
              <w:numPr>
                <w:ilvl w:val="0"/>
                <w:numId w:val="1"/>
              </w:numPr>
            </w:pPr>
            <w:r>
              <w:rPr>
                <w:rFonts w:ascii="Calibri" w:cs="Calibri" w:eastAsia="Calibri" w:hAnsi="Calibri"/>
                <w:b w:val="false"/>
                <w:bCs w:val="false"/>
                <w:color w:val="000000"/>
                <w:sz w:val="20"/>
                <w:szCs w:val="20"/>
              </w:rPr>
              <w:t xml:space="preserve">Insurer A claim-free cashback: 10% of actual premiums paid is refunded after a claim-free cycle commencing 1 July 2026, subject to terms and conditions.</w:t>
            </w:r>
          </w:p>
          <w:p>
            <w:pPr>
              <w:pStyle w:val="ListParagraph"/>
              <w:numPr>
                <w:ilvl w:val="0"/>
                <w:numId w:val="1"/>
              </w:numPr>
            </w:pPr>
            <w:r>
              <w:rPr>
                <w:rFonts w:ascii="Calibri" w:cs="Calibri" w:eastAsia="Calibri" w:hAnsi="Calibri"/>
                <w:b w:val="false"/>
                <w:bCs w:val="false"/>
                <w:color w:val="000000"/>
                <w:sz w:val="20"/>
                <w:szCs w:val="20"/>
              </w:rPr>
              <w:t xml:space="preserve">Fraudline, FSP licence and VAT numbers: see your policy schedule.</w:t>
            </w:r>
          </w:p>
          <w:p>
            <w:pPr>
              <w:pStyle w:val="ListParagraph"/>
              <w:numPr>
                <w:ilvl w:val="0"/>
                <w:numId w:val="1"/>
              </w:numPr>
            </w:pPr>
            <w:r>
              <w:rPr>
                <w:rFonts w:ascii="Calibri" w:cs="Calibri" w:eastAsia="Calibri" w:hAnsi="Calibri"/>
                <w:b w:val="false"/>
                <w:bCs w:val="false"/>
                <w:color w:val="000000"/>
                <w:sz w:val="20"/>
                <w:szCs w:val="20"/>
              </w:rPr>
              <w:t xml:space="preserve">POPIA: Personal information is processed for underwriting, claims, fraud prevention, and regulatory purposes. Full privacy statement on the insurer’s website.</w:t>
            </w:r>
          </w:p>
          <w:p>
            <w:pPr>
              <w:pStyle w:val="ListParagraph"/>
              <w:numPr>
                <w:ilvl w:val="0"/>
                <w:numId w:val="1"/>
              </w:numPr>
            </w:pPr>
            <w:r>
              <w:rPr>
                <w:rFonts w:ascii="Calibri" w:cs="Calibri" w:eastAsia="Calibri" w:hAnsi="Calibri"/>
                <w:b w:val="false"/>
                <w:bCs w:val="false"/>
                <w:color w:val="000000"/>
                <w:sz w:val="20"/>
                <w:szCs w:val="20"/>
              </w:rPr>
              <w:t xml:space="preserve">Complaints: NFOSA — 0860 800 900 | info@nfosa.co.za. FAIS Ombudsman — (012) 762 5000 | info@faisombud.co.za. Insurer A internal complaints — see your policy schedule. FSCA — (012) 428 8000 | www.fsca.co.za.</w:t>
            </w:r>
          </w:p>
          <w:p>
            <w:pPr>
              <w:pStyle w:val="ListParagraph"/>
              <w:numPr>
                <w:ilvl w:val="0"/>
                <w:numId w:val="1"/>
              </w:numPr>
            </w:pPr>
            <w:r>
              <w:rPr>
                <w:rFonts w:ascii="Calibri" w:cs="Calibri" w:eastAsia="Calibri" w:hAnsi="Calibri"/>
                <w:b w:val="false"/>
                <w:bCs w:val="false"/>
                <w:color w:val="000000"/>
                <w:sz w:val="20"/>
                <w:szCs w:val="20"/>
              </w:rPr>
              <w:t xml:space="preserve">Sections not automatically covered by this policy: watercraft, motorcycle, caravans/trailers, aircraft — cover must be specifically requested and endorsed.</w:t>
            </w:r>
          </w:p>
          <w:p>
            <w:pPr>
              <w:pStyle w:val="ListParagraph"/>
              <w:numPr>
                <w:ilvl w:val="0"/>
                <w:numId w:val="1"/>
              </w:numPr>
            </w:pPr>
            <w:r>
              <w:rPr>
                <w:rFonts w:ascii="Calibri" w:cs="Calibri" w:eastAsia="Calibri" w:hAnsi="Calibri"/>
                <w:b w:val="false"/>
                <w:bCs w:val="false"/>
                <w:color w:val="000000"/>
                <w:sz w:val="20"/>
                <w:szCs w:val="20"/>
              </w:rPr>
              <w:t xml:space="preserve">Cover under more than one section for a single event: only one section will respond (except all-risks and personal legal liability, which may respond concurrently with other sections).</w:t>
            </w:r>
          </w:p>
          <w:p>
            <w:pPr>
              <w:pStyle w:val="ListParagraph"/>
              <w:numPr>
                <w:ilvl w:val="0"/>
                <w:numId w:val="1"/>
              </w:numPr>
            </w:pPr>
            <w:r>
              <w:rPr>
                <w:rFonts w:ascii="Calibri" w:cs="Calibri" w:eastAsia="Calibri" w:hAnsi="Calibri"/>
                <w:b w:val="false"/>
                <w:bCs w:val="false"/>
                <w:color w:val="000000"/>
                <w:sz w:val="20"/>
                <w:szCs w:val="20"/>
              </w:rPr>
              <w:t xml:space="preserve">Cooling-off period: You may cancel this policy in writing within 14 days of receiving the policy documents, provided no claim has been made and no cover has yet been provided for the period in question. Any premium already paid for that period will be refunded.</w:t>
            </w:r>
          </w:p>
          <w:p>
            <w:pPr>
              <w:pStyle w:val="ListParagraph"/>
              <w:numPr>
                <w:ilvl w:val="0"/>
                <w:numId w:val="1"/>
              </w:numPr>
            </w:pPr>
            <w:r>
              <w:rPr>
                <w:rFonts w:ascii="Calibri" w:cs="Calibri" w:eastAsia="Calibri" w:hAnsi="Calibri"/>
                <w:b w:val="false"/>
                <w:bCs w:val="false"/>
                <w:color w:val="000000"/>
                <w:sz w:val="20"/>
                <w:szCs w:val="20"/>
              </w:rPr>
              <w:t xml:space="preserve">Protection of personal information (POPIA): Your personal information is processed to administer this policy, assess claims and meet legal and regulatory obligations, and may be shared with the insurer, reinsurers and industry databases for those purposes. You may request access to the information held about you and ask that it be corrected or deleted where the law allows.</w:t>
            </w:r>
          </w:p>
          <w:p>
            <w:pPr>
              <w:pStyle w:val="ListParagraph"/>
              <w:numPr>
                <w:ilvl w:val="0"/>
                <w:numId w:val="1"/>
              </w:numPr>
            </w:pPr>
            <w:r>
              <w:rPr>
                <w:rFonts w:ascii="Calibri" w:cs="Calibri" w:eastAsia="Calibri" w:hAnsi="Calibri"/>
                <w:b w:val="false"/>
                <w:bCs w:val="false"/>
                <w:color w:val="000000"/>
                <w:sz w:val="20"/>
                <w:szCs w:val="20"/>
              </w:rPr>
              <w:t xml:space="preserve">Complaints and dispute resolution: A complaint should first be raised with the insurer, which must acknowledge and address it through its internal complaints process. If it is not resolved to your satisfaction, a claims or policy complaint may be escalated to the National Financial Ombud Scheme, and a complaint about the advice you were given to the FAIS Ombud. Contact details for both are available from your advisor and on the insurer's website.</w:t>
            </w:r>
          </w:p>
          <w:p>
            <w:pPr>
              <w:pStyle w:val="ListParagraph"/>
              <w:numPr>
                <w:ilvl w:val="0"/>
                <w:numId w:val="1"/>
              </w:numPr>
            </w:pPr>
            <w:r>
              <w:rPr>
                <w:rFonts w:ascii="Calibri" w:cs="Calibri" w:eastAsia="Calibri" w:hAnsi="Calibri"/>
                <w:b w:val="false"/>
                <w:bCs w:val="false"/>
                <w:color w:val="000000"/>
                <w:sz w:val="20"/>
                <w:szCs w:val="20"/>
              </w:rPr>
              <w:t xml:space="preserve">Your duty of disclosure: You must disclose all material facts — anything that could influence the insurer's decision to accept the risk or the terms on which it does so — fully and accurately, both when taking out the policy and whenever your circumstances change during its term. Non-disclosure or misrepresentation of a material fact may result in a claim being rejected or the policy being voided.</w:t>
            </w:r>
          </w:p>
        </w:tc>
      </w:tr>
    </w:tbl>
    <w:p>
      <w:r>
        <w:t xml:space="preserve"/>
      </w:r>
    </w:p>
    <w:p>
      <w:pPr>
        <w:shd w:fill="D9D9D9" w:val="clear"/>
        <w:spacing w:before="120" w:after="60"/>
      </w:pPr>
      <w:r>
        <w:rPr>
          <w:rFonts w:ascii="Calibri" w:cs="Calibri" w:eastAsia="Calibri" w:hAnsi="Calibri"/>
          <w:b/>
          <w:bCs/>
          <w:color w:val="000000"/>
          <w:sz w:val="22"/>
          <w:szCs w:val="22"/>
        </w:rPr>
        <w:t xml:space="preserve">OUTSTANDING DETAILS</w:t>
      </w:r>
    </w:p>
    <w:p>
      <w:pPr>
        <w:pStyle w:val="ListParagraph"/>
        <w:numPr>
          <w:ilvl w:val="0"/>
          <w:numId w:val="1"/>
        </w:numPr>
      </w:pPr>
      <w:r>
        <w:rPr>
          <w:rFonts w:ascii="Calibri" w:cs="Calibri" w:eastAsia="Calibri" w:hAnsi="Calibri"/>
          <w:b w:val="false"/>
          <w:bCs w:val="false"/>
          <w:color w:val="000000"/>
          <w:sz w:val="20"/>
          <w:szCs w:val="20"/>
        </w:rPr>
        <w:t xml:space="preserve">Please provide a current valuation certificate (pre-dating any loss) for each valuable article (jewellery, watches, furs, gemstones, or precious-metal items) with an individual value of R25,000 or more — failure to do so will limit compensation for that article to R25,000 per item.</w:t>
      </w:r>
    </w:p>
    <w:p>
      <w:r>
        <w:t xml:space="preserve"/>
      </w:r>
    </w:p>
    <w:p>
      <w:pPr>
        <w:keepNext/>
        <w:spacing w:after="240"/>
        <w:jc w:val="center"/>
      </w:pPr>
      <w:r>
        <w:rPr>
          <w:rFonts w:ascii="Calibri" w:cs="Calibri" w:eastAsia="Calibri" w:hAnsi="Calibri"/>
          <w:b/>
          <w:bCs/>
          <w:color w:val="000000"/>
          <w:sz w:val="28"/>
          <w:szCs w:val="28"/>
        </w:rPr>
        <w:t xml:space="preserve">Fees</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880"/>
        <w:gridCol w:w="5760"/>
      </w:tblGrid>
      <w:tr>
        <w:tc>
          <w:tcPr>
            <w:shd w:fill="D9D9D9" w:val="clear"/>
            <w:tcMar>
              <w:top w:type="dxa" w:w="144"/>
              <w:left w:type="dxa" w:w="144"/>
              <w:bottom w:type="dxa" w:w="144"/>
              <w:right w:type="dxa" w:w="144"/>
            </w:tcMar>
          </w:tcPr>
          <w:p>
            <w:r>
              <w:rPr>
                <w:rFonts w:ascii="Calibri" w:cs="Calibri" w:eastAsia="Calibri" w:hAnsi="Calibri"/>
                <w:b/>
                <w:bCs/>
                <w:color w:val="000000"/>
                <w:sz w:val="20"/>
                <w:szCs w:val="20"/>
              </w:rPr>
              <w:t xml:space="preserve">Commission</w:t>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R583.08</w:t>
            </w:r>
          </w:p>
        </w:tc>
      </w:tr>
      <w:tr>
        <w:tc>
          <w:tcPr>
            <w:shd w:fill="D9D9D9" w:val="clear"/>
            <w:tcMar>
              <w:top w:type="dxa" w:w="144"/>
              <w:left w:type="dxa" w:w="144"/>
              <w:bottom w:type="dxa" w:w="144"/>
              <w:right w:type="dxa" w:w="144"/>
            </w:tcMar>
          </w:tcPr>
          <w:p>
            <w:r>
              <w:rPr>
                <w:rFonts w:ascii="Calibri" w:cs="Calibri" w:eastAsia="Calibri" w:hAnsi="Calibri"/>
                <w:b/>
                <w:bCs/>
                <w:color w:val="000000"/>
                <w:sz w:val="20"/>
                <w:szCs w:val="20"/>
              </w:rPr>
              <w:t xml:space="preserve">Fees</w:t>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R25.00</w:t>
            </w:r>
          </w:p>
        </w:tc>
      </w:tr>
      <w:tr>
        <w:tc>
          <w:tcPr>
            <w:shd w:fill="D9D9D9" w:val="clear"/>
            <w:tcMar>
              <w:top w:type="dxa" w:w="144"/>
              <w:left w:type="dxa" w:w="144"/>
              <w:bottom w:type="dxa" w:w="144"/>
              <w:right w:type="dxa" w:w="144"/>
            </w:tcMar>
          </w:tcPr>
          <w:p>
            <w:r>
              <w:rPr>
                <w:rFonts w:ascii="Calibri" w:cs="Calibri" w:eastAsia="Calibri" w:hAnsi="Calibri"/>
                <w:b/>
                <w:bCs/>
                <w:color w:val="000000"/>
                <w:sz w:val="20"/>
                <w:szCs w:val="20"/>
              </w:rPr>
              <w:t xml:space="preserve">Services</w:t>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Ongoing policy management, annual renewal reviews, claims assistance, and intermediary advisory services as appointed broker.</w:t>
            </w:r>
          </w:p>
        </w:tc>
      </w:tr>
      <w:tr>
        <w:tc>
          <w:tcPr>
            <w:shd w:fill="D9D9D9" w:val="clear"/>
            <w:tcMar>
              <w:top w:type="dxa" w:w="144"/>
              <w:left w:type="dxa" w:w="144"/>
              <w:bottom w:type="dxa" w:w="144"/>
              <w:right w:type="dxa" w:w="144"/>
            </w:tcMar>
          </w:tcPr>
          <w:p>
            <w:r>
              <w:rPr>
                <w:rFonts w:ascii="Calibri" w:cs="Calibri" w:eastAsia="Calibri" w:hAnsi="Calibri"/>
                <w:b/>
                <w:bCs/>
                <w:color w:val="000000"/>
                <w:sz w:val="20"/>
                <w:szCs w:val="20"/>
              </w:rPr>
              <w:t xml:space="preserve">Frequency &amp; method of payment</w:t>
            </w:r>
          </w:p>
        </w:tc>
        <w:tc>
          <w:tcPr>
            <w:tcMar>
              <w:top w:type="dxa" w:w="144"/>
              <w:left w:type="dxa" w:w="144"/>
              <w:bottom w:type="dxa" w:w="144"/>
              <w:right w:type="dxa" w:w="144"/>
            </w:tcMar>
          </w:tcPr>
          <w:p>
            <w:r>
              <w:rPr>
                <w:rFonts w:ascii="Segoe UI Symbol" w:cs="Segoe UI Symbol" w:eastAsia="Segoe UI Symbol" w:hAnsi="Segoe UI Symbol"/>
                <w:b w:val="false"/>
                <w:bCs w:val="false"/>
                <w:color w:val="000000"/>
                <w:sz w:val="20"/>
                <w:szCs w:val="20"/>
              </w:rPr>
              <w:t xml:space="preserve">☒</w:t>
            </w:r>
            <w:r>
              <w:rPr>
                <w:rFonts w:ascii="Calibri" w:cs="Calibri" w:eastAsia="Calibri" w:hAnsi="Calibri"/>
                <w:b w:val="false"/>
                <w:bCs w:val="false"/>
                <w:color w:val="000000"/>
                <w:sz w:val="20"/>
                <w:szCs w:val="20"/>
              </w:rPr>
              <w:t xml:space="preserve"> Debit Order</w:t>
            </w:r>
          </w:p>
          <w:p>
            <w:r>
              <w:rPr>
                <w:rFonts w:ascii="Segoe UI Symbol" w:cs="Segoe UI Symbol" w:eastAsia="Segoe UI Symbol" w:hAnsi="Segoe UI Symbol"/>
                <w:b w:val="false"/>
                <w:bCs w:val="false"/>
                <w:color w:val="000000"/>
                <w:sz w:val="20"/>
                <w:szCs w:val="20"/>
              </w:rPr>
              <w:t xml:space="preserve">☐</w:t>
            </w:r>
            <w:r>
              <w:rPr>
                <w:rFonts w:ascii="Calibri" w:cs="Calibri" w:eastAsia="Calibri" w:hAnsi="Calibri"/>
                <w:b w:val="false"/>
                <w:bCs w:val="false"/>
                <w:color w:val="000000"/>
                <w:sz w:val="20"/>
                <w:szCs w:val="20"/>
              </w:rPr>
              <w:t xml:space="preserve"> Product Provider</w:t>
            </w:r>
          </w:p>
          <w:p>
            <w:r>
              <w:rPr>
                <w:rFonts w:ascii="Segoe UI Symbol" w:cs="Segoe UI Symbol" w:eastAsia="Segoe UI Symbol" w:hAnsi="Segoe UI Symbol"/>
                <w:b w:val="false"/>
                <w:bCs w:val="false"/>
                <w:color w:val="000000"/>
                <w:sz w:val="20"/>
                <w:szCs w:val="20"/>
              </w:rPr>
              <w:t xml:space="preserve">☐</w:t>
            </w:r>
            <w:r>
              <w:rPr>
                <w:rFonts w:ascii="Calibri" w:cs="Calibri" w:eastAsia="Calibri" w:hAnsi="Calibri"/>
                <w:b w:val="false"/>
                <w:bCs w:val="false"/>
                <w:color w:val="000000"/>
                <w:sz w:val="20"/>
                <w:szCs w:val="20"/>
              </w:rPr>
              <w:t xml:space="preserve"> Other: ____________________</w:t>
            </w:r>
          </w:p>
        </w:tc>
      </w:tr>
    </w:tbl>
    <w:p>
      <w:r>
        <w:t xml:space="preserve"/>
      </w:r>
    </w:p>
    <w:p>
      <w:pPr>
        <w:keepNext/>
        <w:spacing w:after="240"/>
        <w:jc w:val="center"/>
      </w:pPr>
      <w:r>
        <w:rPr>
          <w:rFonts w:ascii="Calibri" w:cs="Calibri" w:eastAsia="Calibri" w:hAnsi="Calibri"/>
          <w:b/>
          <w:bCs/>
          <w:color w:val="000000"/>
          <w:sz w:val="28"/>
          <w:szCs w:val="28"/>
        </w:rPr>
        <w:t xml:space="preserve">Intermediary's Declarations</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6480"/>
        <w:gridCol w:w="1080"/>
        <w:gridCol w:w="1080"/>
      </w:tblGrid>
      <w:tr>
        <w:trPr>
          <w:tblHeader/>
        </w:trPr>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Intermediary Declaration</w:t>
            </w:r>
          </w:p>
        </w:tc>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Yes</w:t>
            </w:r>
          </w:p>
        </w:tc>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No</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1. I confirm that I have conducted a thorough analysis of the client's financial needs and goals in relation to short-term insurance.</w:t>
            </w:r>
          </w:p>
        </w:tc>
        <w:tc>
          <w:tcPr>
            <w:tcMar>
              <w:top w:type="dxa" w:w="144"/>
              <w:left w:type="dxa" w:w="144"/>
              <w:bottom w:type="dxa" w:w="144"/>
              <w:right w:type="dxa" w:w="144"/>
            </w:tcMar>
          </w:tcPr>
          <w:p>
            <w:pPr>
              <w:jc w:val="center"/>
            </w:pPr>
            <w:r>
              <w:rPr>
                <w:rFonts w:ascii="Segoe UI Symbol" w:cs="Segoe UI Symbol" w:eastAsia="Segoe UI Symbol" w:hAnsi="Segoe UI Symbol"/>
                <w:b/>
                <w:bCs/>
                <w:color w:val="000000"/>
                <w:sz w:val="18"/>
                <w:szCs w:val="18"/>
              </w:rPr>
              <w:t xml:space="preserve">✓</w:t>
            </w:r>
          </w:p>
        </w:tc>
        <w:tc>
          <w:tcPr>
            <w:tcMar>
              <w:top w:type="dxa" w:w="144"/>
              <w:left w:type="dxa" w:w="144"/>
              <w:bottom w:type="dxa" w:w="144"/>
              <w:right w:type="dxa" w:w="144"/>
            </w:tcMar>
          </w:tcPr>
          <w:p>
            <w:pPr>
              <w:jc w:val="center"/>
            </w:pPr>
            <w:r>
              <w:rPr>
                <w:rFonts w:ascii="Calibri" w:cs="Calibri" w:eastAsia="Calibri" w:hAnsi="Calibri"/>
                <w:b/>
                <w:bCs/>
                <w:color w:val="000000"/>
                <w:sz w:val="18"/>
                <w:szCs w:val="18"/>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2. I confirm that I have disclosed all material information regarding the product(s) recommended, including benefits, costs, exclusions, limitations, and excess structures.</w:t>
            </w:r>
          </w:p>
        </w:tc>
        <w:tc>
          <w:tcPr>
            <w:tcMar>
              <w:top w:type="dxa" w:w="144"/>
              <w:left w:type="dxa" w:w="144"/>
              <w:bottom w:type="dxa" w:w="144"/>
              <w:right w:type="dxa" w:w="144"/>
            </w:tcMar>
          </w:tcPr>
          <w:p>
            <w:pPr>
              <w:jc w:val="center"/>
            </w:pPr>
            <w:r>
              <w:rPr>
                <w:rFonts w:ascii="Segoe UI Symbol" w:cs="Segoe UI Symbol" w:eastAsia="Segoe UI Symbol" w:hAnsi="Segoe UI Symbol"/>
                <w:b/>
                <w:bCs/>
                <w:color w:val="000000"/>
                <w:sz w:val="18"/>
                <w:szCs w:val="18"/>
              </w:rPr>
              <w:t xml:space="preserve">✓</w:t>
            </w:r>
          </w:p>
        </w:tc>
        <w:tc>
          <w:tcPr>
            <w:tcMar>
              <w:top w:type="dxa" w:w="144"/>
              <w:left w:type="dxa" w:w="144"/>
              <w:bottom w:type="dxa" w:w="144"/>
              <w:right w:type="dxa" w:w="144"/>
            </w:tcMar>
          </w:tcPr>
          <w:p>
            <w:pPr>
              <w:jc w:val="center"/>
            </w:pPr>
            <w:r>
              <w:rPr>
                <w:rFonts w:ascii="Calibri" w:cs="Calibri" w:eastAsia="Calibri" w:hAnsi="Calibri"/>
                <w:b/>
                <w:bCs/>
                <w:color w:val="000000"/>
                <w:sz w:val="18"/>
                <w:szCs w:val="18"/>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3. I confirm that I have explained the principal terms and conditions of the recommended product(s) in a manner the client can reasonably understand.</w:t>
            </w:r>
          </w:p>
        </w:tc>
        <w:tc>
          <w:tcPr>
            <w:tcMar>
              <w:top w:type="dxa" w:w="144"/>
              <w:left w:type="dxa" w:w="144"/>
              <w:bottom w:type="dxa" w:w="144"/>
              <w:right w:type="dxa" w:w="144"/>
            </w:tcMar>
          </w:tcPr>
          <w:p>
            <w:pPr>
              <w:jc w:val="center"/>
            </w:pPr>
            <w:r>
              <w:rPr>
                <w:rFonts w:ascii="Segoe UI Symbol" w:cs="Segoe UI Symbol" w:eastAsia="Segoe UI Symbol" w:hAnsi="Segoe UI Symbol"/>
                <w:b/>
                <w:bCs/>
                <w:color w:val="000000"/>
                <w:sz w:val="18"/>
                <w:szCs w:val="18"/>
              </w:rPr>
              <w:t xml:space="preserve">✓</w:t>
            </w:r>
          </w:p>
        </w:tc>
        <w:tc>
          <w:tcPr>
            <w:tcMar>
              <w:top w:type="dxa" w:w="144"/>
              <w:left w:type="dxa" w:w="144"/>
              <w:bottom w:type="dxa" w:w="144"/>
              <w:right w:type="dxa" w:w="144"/>
            </w:tcMar>
          </w:tcPr>
          <w:p>
            <w:pPr>
              <w:jc w:val="center"/>
            </w:pPr>
            <w:r>
              <w:rPr>
                <w:rFonts w:ascii="Calibri" w:cs="Calibri" w:eastAsia="Calibri" w:hAnsi="Calibri"/>
                <w:b/>
                <w:bCs/>
                <w:color w:val="000000"/>
                <w:sz w:val="18"/>
                <w:szCs w:val="18"/>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4. I confirm that the product(s) recommended are appropriate for the client's identified needs, risk profile, and financial circumstances.</w:t>
            </w:r>
          </w:p>
        </w:tc>
        <w:tc>
          <w:tcPr>
            <w:tcMar>
              <w:top w:type="dxa" w:w="144"/>
              <w:left w:type="dxa" w:w="144"/>
              <w:bottom w:type="dxa" w:w="144"/>
              <w:right w:type="dxa" w:w="144"/>
            </w:tcMar>
          </w:tcPr>
          <w:p>
            <w:pPr>
              <w:jc w:val="center"/>
            </w:pPr>
            <w:r>
              <w:rPr>
                <w:rFonts w:ascii="Segoe UI Symbol" w:cs="Segoe UI Symbol" w:eastAsia="Segoe UI Symbol" w:hAnsi="Segoe UI Symbol"/>
                <w:b/>
                <w:bCs/>
                <w:color w:val="000000"/>
                <w:sz w:val="18"/>
                <w:szCs w:val="18"/>
              </w:rPr>
              <w:t xml:space="preserve">✓</w:t>
            </w:r>
          </w:p>
        </w:tc>
        <w:tc>
          <w:tcPr>
            <w:tcMar>
              <w:top w:type="dxa" w:w="144"/>
              <w:left w:type="dxa" w:w="144"/>
              <w:bottom w:type="dxa" w:w="144"/>
              <w:right w:type="dxa" w:w="144"/>
            </w:tcMar>
          </w:tcPr>
          <w:p>
            <w:pPr>
              <w:jc w:val="center"/>
            </w:pPr>
            <w:r>
              <w:rPr>
                <w:rFonts w:ascii="Calibri" w:cs="Calibri" w:eastAsia="Calibri" w:hAnsi="Calibri"/>
                <w:b/>
                <w:bCs/>
                <w:color w:val="000000"/>
                <w:sz w:val="18"/>
                <w:szCs w:val="18"/>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5. I confirm that where an existing product is being replaced, I have advised the client of the financial implications, costs, and consequences of the replacement.</w:t>
            </w:r>
          </w:p>
        </w:tc>
        <w:tc>
          <w:tcPr>
            <w:tcMar>
              <w:top w:type="dxa" w:w="144"/>
              <w:left w:type="dxa" w:w="144"/>
              <w:bottom w:type="dxa" w:w="144"/>
              <w:right w:type="dxa" w:w="144"/>
            </w:tcMar>
          </w:tcPr>
          <w:p>
            <w:pPr>
              <w:jc w:val="center"/>
            </w:pPr>
            <w:r>
              <w:rPr>
                <w:rFonts w:ascii="Segoe UI Symbol" w:cs="Segoe UI Symbol" w:eastAsia="Segoe UI Symbol" w:hAnsi="Segoe UI Symbol"/>
                <w:b/>
                <w:bCs/>
                <w:color w:val="000000"/>
                <w:sz w:val="18"/>
                <w:szCs w:val="18"/>
              </w:rPr>
              <w:t xml:space="preserve">✓</w:t>
            </w:r>
          </w:p>
        </w:tc>
        <w:tc>
          <w:tcPr>
            <w:tcMar>
              <w:top w:type="dxa" w:w="144"/>
              <w:left w:type="dxa" w:w="144"/>
              <w:bottom w:type="dxa" w:w="144"/>
              <w:right w:type="dxa" w:w="144"/>
            </w:tcMar>
          </w:tcPr>
          <w:p>
            <w:pPr>
              <w:jc w:val="center"/>
            </w:pPr>
            <w:r>
              <w:rPr>
                <w:rFonts w:ascii="Calibri" w:cs="Calibri" w:eastAsia="Calibri" w:hAnsi="Calibri"/>
                <w:b/>
                <w:bCs/>
                <w:color w:val="000000"/>
                <w:sz w:val="18"/>
                <w:szCs w:val="18"/>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6. I confirm that I have acted with due skill, care, and diligence, and in the best interests of the client, in compliance with FAIS General Code of Conduct requirements.</w:t>
            </w:r>
          </w:p>
        </w:tc>
        <w:tc>
          <w:tcPr>
            <w:tcMar>
              <w:top w:type="dxa" w:w="144"/>
              <w:left w:type="dxa" w:w="144"/>
              <w:bottom w:type="dxa" w:w="144"/>
              <w:right w:type="dxa" w:w="144"/>
            </w:tcMar>
          </w:tcPr>
          <w:p>
            <w:pPr>
              <w:jc w:val="center"/>
            </w:pPr>
            <w:r>
              <w:rPr>
                <w:rFonts w:ascii="Segoe UI Symbol" w:cs="Segoe UI Symbol" w:eastAsia="Segoe UI Symbol" w:hAnsi="Segoe UI Symbol"/>
                <w:b/>
                <w:bCs/>
                <w:color w:val="000000"/>
                <w:sz w:val="18"/>
                <w:szCs w:val="18"/>
              </w:rPr>
              <w:t xml:space="preserve">✓</w:t>
            </w:r>
          </w:p>
        </w:tc>
        <w:tc>
          <w:tcPr>
            <w:tcMar>
              <w:top w:type="dxa" w:w="144"/>
              <w:left w:type="dxa" w:w="144"/>
              <w:bottom w:type="dxa" w:w="144"/>
              <w:right w:type="dxa" w:w="144"/>
            </w:tcMar>
          </w:tcPr>
          <w:p>
            <w:pPr>
              <w:jc w:val="center"/>
            </w:pPr>
            <w:r>
              <w:rPr>
                <w:rFonts w:ascii="Calibri" w:cs="Calibri" w:eastAsia="Calibri" w:hAnsi="Calibri"/>
                <w:b/>
                <w:bCs/>
                <w:color w:val="000000"/>
                <w:sz w:val="18"/>
                <w:szCs w:val="18"/>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7. I confirm that all fees, commissions, and remuneration arrangements have been fully disclosed to the client.</w:t>
            </w:r>
          </w:p>
        </w:tc>
        <w:tc>
          <w:tcPr>
            <w:tcMar>
              <w:top w:type="dxa" w:w="144"/>
              <w:left w:type="dxa" w:w="144"/>
              <w:bottom w:type="dxa" w:w="144"/>
              <w:right w:type="dxa" w:w="144"/>
            </w:tcMar>
          </w:tcPr>
          <w:p>
            <w:pPr>
              <w:jc w:val="center"/>
            </w:pPr>
            <w:r>
              <w:rPr>
                <w:rFonts w:ascii="Segoe UI Symbol" w:cs="Segoe UI Symbol" w:eastAsia="Segoe UI Symbol" w:hAnsi="Segoe UI Symbol"/>
                <w:b/>
                <w:bCs/>
                <w:color w:val="000000"/>
                <w:sz w:val="18"/>
                <w:szCs w:val="18"/>
              </w:rPr>
              <w:t xml:space="preserve">✓</w:t>
            </w:r>
          </w:p>
        </w:tc>
        <w:tc>
          <w:tcPr>
            <w:tcMar>
              <w:top w:type="dxa" w:w="144"/>
              <w:left w:type="dxa" w:w="144"/>
              <w:bottom w:type="dxa" w:w="144"/>
              <w:right w:type="dxa" w:w="144"/>
            </w:tcMar>
          </w:tcPr>
          <w:p>
            <w:pPr>
              <w:jc w:val="center"/>
            </w:pPr>
            <w:r>
              <w:rPr>
                <w:rFonts w:ascii="Calibri" w:cs="Calibri" w:eastAsia="Calibri" w:hAnsi="Calibri"/>
                <w:b/>
                <w:bCs/>
                <w:color w:val="000000"/>
                <w:sz w:val="18"/>
                <w:szCs w:val="18"/>
              </w:rPr>
              <w:t xml:space="preserve"/>
            </w:r>
          </w:p>
        </w:tc>
      </w:tr>
    </w:tbl>
    <w:p>
      <w:r>
        <w:t xml:space="preserve"/>
      </w:r>
    </w:p>
    <w:p>
      <w:r>
        <w:rPr>
          <w:rFonts w:ascii="Calibri" w:cs="Calibri" w:eastAsia="Calibri" w:hAnsi="Calibri"/>
          <w:b/>
          <w:bCs/>
          <w:color w:val="000000"/>
          <w:sz w:val="20"/>
          <w:szCs w:val="20"/>
        </w:rPr>
        <w:t xml:space="preserve">Intermediary Name: </w:t>
      </w:r>
      <w:r>
        <w:rPr>
          <w:rFonts w:ascii="Calibri" w:cs="Calibri" w:eastAsia="Calibri" w:hAnsi="Calibri"/>
          <w:b w:val="false"/>
          <w:bCs w:val="false"/>
          <w:color w:val="000000"/>
          <w:sz w:val="20"/>
          <w:szCs w:val="20"/>
        </w:rPr>
        <w:t xml:space="preserve">Example Brokers (Pty) Ltd</w:t>
      </w:r>
    </w:p>
    <w:p>
      <w:r>
        <w:rPr>
          <w:rFonts w:ascii="Calibri" w:cs="Calibri" w:eastAsia="Calibri" w:hAnsi="Calibri"/>
          <w:b/>
          <w:bCs/>
          <w:color w:val="000000"/>
          <w:sz w:val="20"/>
          <w:szCs w:val="20"/>
        </w:rPr>
        <w:t xml:space="preserve">Signature Date: </w:t>
      </w:r>
      <w:r>
        <w:rPr>
          <w:rFonts w:ascii="Calibri" w:cs="Calibri" w:eastAsia="Calibri" w:hAnsi="Calibri"/>
          <w:b w:val="false"/>
          <w:bCs w:val="false"/>
          <w:color w:val="000000"/>
          <w:sz w:val="20"/>
          <w:szCs w:val="20"/>
        </w:rPr>
        <w:t xml:space="preserve">2026-10-26</w:t>
      </w:r>
    </w:p>
    <w:p>
      <w:r>
        <w:t xml:space="preserve"/>
      </w:r>
    </w:p>
    <w:p>
      <w:pPr>
        <w:keepNext/>
        <w:spacing w:after="240"/>
        <w:jc w:val="center"/>
      </w:pPr>
      <w:r>
        <w:rPr>
          <w:rFonts w:ascii="Calibri" w:cs="Calibri" w:eastAsia="Calibri" w:hAnsi="Calibri"/>
          <w:b/>
          <w:bCs/>
          <w:color w:val="000000"/>
          <w:sz w:val="28"/>
          <w:szCs w:val="28"/>
        </w:rPr>
        <w:t xml:space="preserve">Client Declarations</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6300"/>
        <w:gridCol w:w="1080"/>
        <w:gridCol w:w="1080"/>
      </w:tblGrid>
      <w:tr>
        <w:trPr>
          <w:tblHeader/>
        </w:trPr>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Client Declaration</w:t>
            </w:r>
          </w:p>
        </w:tc>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Initial</w:t>
            </w:r>
          </w:p>
        </w:tc>
        <w:tc>
          <w:tcPr>
            <w:shd w:fill="D9D9D9" w:val="clea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Broker</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1. I confirm that a Contact Stage Disclosure letter, setting out the Financial Advisor's particulars, has been made available to me.</w:t>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Y</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2. I understand that the objective of a Needs Analysis process is to provide me with an analysis of my financial needs, goals and situation and to develop strategies to address these needs and goals. Where the Financial Advisor was unable to do an analysis because all the information was not provided, or there was not sufficient time:
a. I clearly understand that there may be limitations on the appropriateness of the advice provided, and
b. I will take particular care to determine whether the advice is appropriate considering my financial objectives and current financial position.</w:t>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Y</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3. I confirm that all required documents were fully completed prior to my signing them.</w:t>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Y</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4. The quotation(s) for the product(s) selected was shown to me and the principal terms and conditions have been explained to me. I have been informed of and understand all costs, charges, penalties, liquidity limitations and tax implications, where applicable.</w:t>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Y</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5. I confirm that the Financial Advisor has made enquiries to ascertain whether the product(s) selected are intended to replace any existing financial products held by me and where applicable, has informed me of the financial implications, costs and consequences of replacement.</w:t>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Y</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6. I understand that, where conducted, the accuracy of a Needs Analysis is dependent on the information obtained by or provided to the Financial Advisor.</w:t>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Y</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7. The advice and subsequent product recommendation given in this Record was largely based on information relating to my financial circumstances given to my Advisor by myself. I understand that material non-disclosure could result in inappropriate product(s) being recommended to me.</w:t>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Y</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8. Notwithstanding the information provided by the Advisor I acknowledge that I have an obligation to familiarise myself with the terms and conditions of the product(s) that I have purchased.</w:t>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Y</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9. I confirm that I have been informed of my right to a cooling-off period and the procedure to exercise this right where applicable.</w:t>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Y</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10. I confirm that I have been advised of the complaints and dispute resolution procedures, including contact details for the insurer's complaints department and the Ombudsman for Short-Term Insurance.</w:t>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Y</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11. I confirm that I have been informed of the consequences of non-disclosure or misrepresentation of material information, including possible rejection of claims and cancellation of cover.</w:t>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Y</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12. I acknowledge that I have received and understood this Record of Advice and confirm that it accurately reflects the advice provided and the product(s) selected.</w:t>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Y</w:t>
            </w:r>
          </w:p>
        </w:tc>
      </w:tr>
    </w:tbl>
    <w:p>
      <w:r>
        <w:t xml:space="preserve"/>
      </w:r>
    </w:p>
    <w:p>
      <w:pPr>
        <w:keepNext/>
        <w:spacing w:after="240"/>
        <w:jc w:val="center"/>
      </w:pPr>
      <w:r>
        <w:rPr>
          <w:rFonts w:ascii="Calibri" w:cs="Calibri" w:eastAsia="Calibri" w:hAnsi="Calibri"/>
          <w:b/>
          <w:bCs/>
          <w:color w:val="000000"/>
          <w:sz w:val="28"/>
          <w:szCs w:val="28"/>
        </w:rPr>
        <w:t xml:space="preserve">Renewal Confirmation</w:t>
      </w:r>
    </w:p>
    <w:p>
      <w:pPr>
        <w:spacing w:after="120"/>
        <w:jc w:val="both"/>
      </w:pPr>
      <w:r>
        <w:rPr>
          <w:rFonts w:ascii="Calibri" w:cs="Calibri" w:eastAsia="Calibri" w:hAnsi="Calibri"/>
          <w:b w:val="false"/>
          <w:bCs w:val="false"/>
          <w:color w:val="000000"/>
          <w:sz w:val="20"/>
          <w:szCs w:val="20"/>
        </w:rPr>
        <w:t xml:space="preserve">I confirm that I have reviewed this Renewal Record of Advice. To the best of my knowledge, there have been no material changes to my circumstances, risk profile, or insured assets since the previous policy period, other than those disclosed and recorded in Section A above. I acknowledge and accept the renewal terms, including cover levels, excesses, and premium, as outlined in this document, and agree to proceed with the renewal of my short-term insurance policy on this basis.</w:t>
      </w:r>
    </w:p>
    <w:p>
      <w:r>
        <w:t xml:space="preserve"/>
      </w:r>
    </w:p>
    <w:p>
      <w:r>
        <w:rPr>
          <w:rFonts w:ascii="Calibri" w:cs="Calibri" w:eastAsia="Calibri" w:hAnsi="Calibri"/>
          <w:b/>
          <w:bCs/>
          <w:color w:val="000000"/>
          <w:sz w:val="22"/>
          <w:szCs w:val="22"/>
        </w:rPr>
        <w:t xml:space="preserve">General Comments:</w:t>
      </w:r>
    </w:p>
    <w:p>
      <w:r>
        <w:rPr>
          <w:rFonts w:ascii="Calibri" w:cs="Calibri" w:eastAsia="Calibri" w:hAnsi="Calibri"/>
          <w:b w:val="false"/>
          <w:bCs w:val="false"/>
          <w:color w:val="000000"/>
          <w:sz w:val="20"/>
          <w:szCs w:val="20"/>
        </w:rPr>
        <w:t xml:space="preserve">I, </w:t>
      </w:r>
      <w:r>
        <w:rPr>
          <w:rFonts w:ascii="Calibri" w:cs="Calibri" w:eastAsia="Calibri" w:hAnsi="Calibri"/>
          <w:b/>
          <w:bCs/>
          <w:color w:val="000000"/>
          <w:sz w:val="20"/>
          <w:szCs w:val="20"/>
        </w:rPr>
        <w:t xml:space="preserve">Mrs. M Sample</w:t>
      </w:r>
      <w:r>
        <w:rPr>
          <w:rFonts w:ascii="Calibri" w:cs="Calibri" w:eastAsia="Calibri" w:hAnsi="Calibri"/>
          <w:b w:val="false"/>
          <w:bCs w:val="false"/>
          <w:color w:val="000000"/>
          <w:sz w:val="20"/>
          <w:szCs w:val="20"/>
        </w:rPr>
        <w:t xml:space="preserve">, herewith confirm that </w:t>
      </w:r>
      <w:r>
        <w:rPr>
          <w:rFonts w:ascii="Calibri" w:cs="Calibri" w:eastAsia="Calibri" w:hAnsi="Calibri"/>
          <w:b/>
          <w:bCs/>
          <w:color w:val="000000"/>
          <w:sz w:val="20"/>
          <w:szCs w:val="20"/>
        </w:rPr>
        <w:t xml:space="preserve">Example Brokers (Pty) Ltd</w:t>
      </w:r>
      <w:r>
        <w:rPr>
          <w:rFonts w:ascii="Calibri" w:cs="Calibri" w:eastAsia="Calibri" w:hAnsi="Calibri"/>
          <w:b w:val="false"/>
          <w:bCs w:val="false"/>
          <w:color w:val="000000"/>
          <w:sz w:val="20"/>
          <w:szCs w:val="20"/>
        </w:rPr>
        <w:t xml:space="preserve"> has been appointed as broker on my short-term insurance policy. The appointed will be in force until I, the insured, cancel the policy in writing.</w:t>
      </w:r>
    </w:p>
    <w:p>
      <w:pPr>
        <w:spacing w:before="240"/>
      </w:pPr>
      <w:r>
        <w:t xml:space="preserve"/>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160"/>
        <w:gridCol w:w="2880"/>
        <w:gridCol w:w="2880"/>
      </w:tblGrid>
      <w:tr>
        <w:tc>
          <w:tcPr>
            <w:tcMar>
              <w:top w:type="dxa" w:w="60"/>
              <w:left w:type="dxa" w:w="100"/>
              <w:bottom w:type="dxa" w:w="60"/>
              <w:right w:type="dxa" w:w="100"/>
            </w:tcMar>
            <w:vAlign w:val="center"/>
          </w:tcPr>
          <w:p>
            <w:pPr>
              <w:jc w:val="left"/>
            </w:pPr>
            <w:r>
              <w:rPr>
                <w:rFonts w:ascii="Calibri" w:cs="Calibri" w:eastAsia="Calibri" w:hAnsi="Calibri"/>
                <w:b w:val="false"/>
                <w:bCs w:val="false"/>
                <w:color w:val="000000"/>
                <w:sz w:val="20"/>
                <w:szCs w:val="20"/>
              </w:rPr>
              <w:t xml:space="preserve"/>
            </w:r>
          </w:p>
        </w:tc>
        <w:tc>
          <w:tcPr>
            <w:shd w:fill="D9D9D9" w:color="auto" w:val="clear"/>
            <w:tcMar>
              <w:top w:type="dxa" w:w="60"/>
              <w:left w:type="dxa" w:w="100"/>
              <w:bottom w:type="dxa" w:w="60"/>
              <w:right w:type="dxa" w:w="100"/>
            </w:tcMar>
            <w:vAlign w:val="center"/>
          </w:tcPr>
          <w:p>
            <w:pPr>
              <w:jc w:val="center"/>
            </w:pPr>
            <w:r>
              <w:rPr>
                <w:rFonts w:ascii="Calibri" w:cs="Calibri" w:eastAsia="Calibri" w:hAnsi="Calibri"/>
                <w:b/>
                <w:bCs/>
                <w:color w:val="000000"/>
                <w:sz w:val="20"/>
                <w:szCs w:val="20"/>
              </w:rPr>
              <w:t xml:space="preserve">Client</w:t>
            </w:r>
          </w:p>
        </w:tc>
        <w:tc>
          <w:tcPr>
            <w:shd w:fill="D9D9D9" w:color="auto" w:val="clear"/>
            <w:tcMar>
              <w:top w:type="dxa" w:w="60"/>
              <w:left w:type="dxa" w:w="100"/>
              <w:bottom w:type="dxa" w:w="60"/>
              <w:right w:type="dxa" w:w="100"/>
            </w:tcMar>
            <w:vAlign w:val="center"/>
          </w:tcPr>
          <w:p>
            <w:pPr>
              <w:jc w:val="center"/>
            </w:pPr>
            <w:r>
              <w:rPr>
                <w:rFonts w:ascii="Calibri" w:cs="Calibri" w:eastAsia="Calibri" w:hAnsi="Calibri"/>
                <w:b/>
                <w:bCs/>
                <w:color w:val="000000"/>
                <w:sz w:val="20"/>
                <w:szCs w:val="20"/>
              </w:rPr>
              <w:t xml:space="preserve">Financial Advisor</w:t>
            </w:r>
          </w:p>
        </w:tc>
      </w:tr>
      <w:tr>
        <w:tc>
          <w:tcPr>
            <w:tcMar>
              <w:top w:type="dxa" w:w="60"/>
              <w:left w:type="dxa" w:w="100"/>
              <w:bottom w:type="dxa" w:w="60"/>
              <w:right w:type="dxa" w:w="100"/>
            </w:tcMar>
            <w:vAlign w:val="center"/>
          </w:tcPr>
          <w:p>
            <w:pPr>
              <w:jc w:val="left"/>
            </w:pPr>
            <w:r>
              <w:rPr>
                <w:rFonts w:ascii="Calibri" w:cs="Calibri" w:eastAsia="Calibri" w:hAnsi="Calibri"/>
                <w:b/>
                <w:bCs/>
                <w:color w:val="000000"/>
                <w:sz w:val="20"/>
                <w:szCs w:val="20"/>
              </w:rPr>
              <w:t xml:space="preserve">Signature</w:t>
            </w:r>
          </w:p>
        </w:tc>
        <w:tc>
          <w:tcPr>
            <w:tcMar>
              <w:top w:type="dxa" w:w="60"/>
              <w:left w:type="dxa" w:w="100"/>
              <w:bottom w:type="dxa" w:w="60"/>
              <w:right w:type="dxa" w:w="100"/>
            </w:tcMar>
            <w:vAlign w:val="center"/>
          </w:tcPr>
          <w:p>
            <w:pPr>
              <w:jc w:val="left"/>
            </w:pPr>
            <w:r>
              <w:rPr>
                <w:rFonts w:ascii="Calibri" w:cs="Calibri" w:eastAsia="Calibri" w:hAnsi="Calibri"/>
                <w:b w:val="false"/>
                <w:bCs w:val="false"/>
                <w:color w:val="000000"/>
                <w:sz w:val="20"/>
                <w:szCs w:val="20"/>
              </w:rPr>
              <w:t xml:space="preserve"/>
            </w:r>
          </w:p>
        </w:tc>
        <w:tc>
          <w:tcPr>
            <w:tcMar>
              <w:top w:type="dxa" w:w="60"/>
              <w:left w:type="dxa" w:w="100"/>
              <w:bottom w:type="dxa" w:w="60"/>
              <w:right w:type="dxa" w:w="100"/>
            </w:tcMar>
            <w:vAlign w:val="center"/>
          </w:tcPr>
          <w:p>
            <w:pPr>
              <w:jc w:val="left"/>
            </w:pPr>
            <w:r>
              <w:rPr>
                <w:rFonts w:ascii="Calibri" w:cs="Calibri" w:eastAsia="Calibri" w:hAnsi="Calibri"/>
                <w:b w:val="false"/>
                <w:bCs w:val="false"/>
                <w:color w:val="000000"/>
                <w:sz w:val="20"/>
                <w:szCs w:val="20"/>
              </w:rPr>
              <w:t xml:space="preserve"/>
            </w:r>
          </w:p>
        </w:tc>
      </w:tr>
      <w:tr>
        <w:tc>
          <w:tcPr>
            <w:tcMar>
              <w:top w:type="dxa" w:w="60"/>
              <w:left w:type="dxa" w:w="100"/>
              <w:bottom w:type="dxa" w:w="60"/>
              <w:right w:type="dxa" w:w="100"/>
            </w:tcMar>
            <w:vAlign w:val="center"/>
          </w:tcPr>
          <w:p>
            <w:pPr>
              <w:jc w:val="left"/>
            </w:pPr>
            <w:r>
              <w:rPr>
                <w:rFonts w:ascii="Calibri" w:cs="Calibri" w:eastAsia="Calibri" w:hAnsi="Calibri"/>
                <w:b/>
                <w:bCs/>
                <w:color w:val="000000"/>
                <w:sz w:val="20"/>
                <w:szCs w:val="20"/>
              </w:rPr>
              <w:t xml:space="preserve">Name</w:t>
            </w:r>
          </w:p>
        </w:tc>
        <w:tc>
          <w:tcPr>
            <w:tcMar>
              <w:top w:type="dxa" w:w="60"/>
              <w:left w:type="dxa" w:w="100"/>
              <w:bottom w:type="dxa" w:w="60"/>
              <w:right w:type="dxa" w:w="100"/>
            </w:tcMar>
            <w:vAlign w:val="center"/>
          </w:tcPr>
          <w:p>
            <w:pPr>
              <w:jc w:val="left"/>
            </w:pPr>
            <w:r>
              <w:rPr>
                <w:rFonts w:ascii="Calibri" w:cs="Calibri" w:eastAsia="Calibri" w:hAnsi="Calibri"/>
                <w:b w:val="false"/>
                <w:bCs w:val="false"/>
                <w:color w:val="000000"/>
                <w:sz w:val="20"/>
                <w:szCs w:val="20"/>
              </w:rPr>
              <w:t xml:space="preserve">Mrs. M Sample</w:t>
            </w:r>
          </w:p>
        </w:tc>
        <w:tc>
          <w:tcPr>
            <w:tcMar>
              <w:top w:type="dxa" w:w="60"/>
              <w:left w:type="dxa" w:w="100"/>
              <w:bottom w:type="dxa" w:w="60"/>
              <w:right w:type="dxa" w:w="100"/>
            </w:tcMar>
            <w:vAlign w:val="center"/>
          </w:tcPr>
          <w:p>
            <w:pPr>
              <w:jc w:val="left"/>
            </w:pPr>
            <w:r>
              <w:rPr>
                <w:rFonts w:ascii="Calibri" w:cs="Calibri" w:eastAsia="Calibri" w:hAnsi="Calibri"/>
                <w:b w:val="false"/>
                <w:bCs w:val="false"/>
                <w:color w:val="000000"/>
                <w:sz w:val="20"/>
                <w:szCs w:val="20"/>
              </w:rPr>
              <w:t xml:space="preserve">Example Brokers (Pty) Ltd</w:t>
            </w:r>
          </w:p>
        </w:tc>
      </w:tr>
      <w:tr>
        <w:tc>
          <w:tcPr>
            <w:tcMar>
              <w:top w:type="dxa" w:w="60"/>
              <w:left w:type="dxa" w:w="100"/>
              <w:bottom w:type="dxa" w:w="60"/>
              <w:right w:type="dxa" w:w="100"/>
            </w:tcMar>
            <w:vAlign w:val="center"/>
          </w:tcPr>
          <w:p>
            <w:pPr>
              <w:jc w:val="left"/>
            </w:pPr>
            <w:r>
              <w:rPr>
                <w:rFonts w:ascii="Calibri" w:cs="Calibri" w:eastAsia="Calibri" w:hAnsi="Calibri"/>
                <w:b/>
                <w:bCs/>
                <w:color w:val="000000"/>
                <w:sz w:val="20"/>
                <w:szCs w:val="20"/>
              </w:rPr>
              <w:t xml:space="preserve">Date</w:t>
            </w:r>
          </w:p>
        </w:tc>
        <w:tc>
          <w:tcPr>
            <w:tcMar>
              <w:top w:type="dxa" w:w="60"/>
              <w:left w:type="dxa" w:w="100"/>
              <w:bottom w:type="dxa" w:w="60"/>
              <w:right w:type="dxa" w:w="100"/>
            </w:tcMar>
            <w:vAlign w:val="center"/>
          </w:tcPr>
          <w:p>
            <w:pPr>
              <w:jc w:val="left"/>
            </w:pPr>
            <w:r>
              <w:rPr>
                <w:rFonts w:ascii="Calibri" w:cs="Calibri" w:eastAsia="Calibri" w:hAnsi="Calibri"/>
                <w:b w:val="false"/>
                <w:bCs w:val="false"/>
                <w:color w:val="000000"/>
                <w:sz w:val="20"/>
                <w:szCs w:val="20"/>
              </w:rPr>
              <w:t xml:space="preserve"/>
            </w:r>
          </w:p>
        </w:tc>
        <w:tc>
          <w:tcPr>
            <w:tcMar>
              <w:top w:type="dxa" w:w="60"/>
              <w:left w:type="dxa" w:w="100"/>
              <w:bottom w:type="dxa" w:w="60"/>
              <w:right w:type="dxa" w:w="100"/>
            </w:tcMar>
            <w:vAlign w:val="center"/>
          </w:tcPr>
          <w:p>
            <w:pPr>
              <w:jc w:val="left"/>
            </w:pPr>
            <w:r>
              <w:rPr>
                <w:rFonts w:ascii="Calibri" w:cs="Calibri" w:eastAsia="Calibri" w:hAnsi="Calibri"/>
                <w:b w:val="false"/>
                <w:bCs w:val="false"/>
                <w:color w:val="000000"/>
                <w:sz w:val="20"/>
                <w:szCs w:val="20"/>
              </w:rPr>
              <w:t xml:space="preserve">26/10/2026</w:t>
            </w:r>
          </w:p>
        </w:tc>
      </w:tr>
    </w:tbl>
    <w:sectPr>
      <w:footerReference w:type="default" r:id="rId6"/>
      <w:pgSz w:w="11906" w:h="16838" w:orient="portrait"/>
      <w:pgMar w:top="1152" w:right="1152" w:bottom="1152" w:left="1152"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000000"/>
        <w:sz w:val="18"/>
        <w:szCs w:val="18"/>
      </w:rPr>
      <w:t xml:space="preserve">Initial: 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Broker AI</dc:creator>
  <cp:lastModifiedBy>Broker AI</cp:lastModifiedBy>
  <cp:revision>1</cp:revision>
  <dcterms:created xsi:type="dcterms:W3CDTF">2026-10-26T16:07:00.789Z</dcterms:created>
  <dcterms:modified xsi:type="dcterms:W3CDTF">2026-10-26T16:07:00.789Z</dcterms:modified>
  <dc:title>Example Personal Renewal Record of Advice</dc:title>
  <dc:subject>Short-term personal renewal record of advice (anonymised example)</dc:subject>
  <dc:description/>
  <cp:keywords/>
  <cp:category/>
  <dc:identifier/>
  <cp:contentStatus/>
</cp:coreProperties>
</file>

<file path=docProps/custom.xml><?xml version="1.0" encoding="utf-8"?>
<Properties xmlns="http://schemas.openxmlformats.org/officeDocument/2006/custom-properties" xmlns:vt="http://schemas.openxmlformats.org/officeDocument/2006/docPropsVTypes"/>
</file>